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9882F0" w14:textId="22E58574" w:rsidR="00EE1DBD" w:rsidRPr="00EE1DBD" w:rsidRDefault="00F11F7B" w:rsidP="003A0FB1">
      <w:pPr>
        <w:pStyle w:val="Title"/>
        <w:rPr>
          <w:rFonts w:ascii="Times New Roman" w:hAnsi="Times New Roman" w:cs="Times New Roman"/>
          <w:color w:val="FF0000"/>
        </w:rPr>
      </w:pPr>
      <w:sdt>
        <w:sdtPr>
          <w:rPr>
            <w:rFonts w:ascii="Times New Roman" w:eastAsia="MS Mincho" w:hAnsi="Times New Roman" w:cs="Times New Roman"/>
            <w:b/>
            <w:bCs/>
            <w:kern w:val="0"/>
            <w:lang w:eastAsia="en-US"/>
          </w:rPr>
          <w:alias w:val="Title:"/>
          <w:tag w:val="Title:"/>
          <w:id w:val="726351117"/>
          <w:placeholder>
            <w:docPart w:val="72E3C5AB7EEE4549B6726CBD4868CE91"/>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926180">
            <w:rPr>
              <w:rFonts w:ascii="Times New Roman" w:eastAsia="MS Mincho" w:hAnsi="Times New Roman" w:cs="Times New Roman"/>
              <w:b/>
              <w:bCs/>
              <w:kern w:val="0"/>
              <w:lang w:eastAsia="en-US"/>
            </w:rPr>
            <w:t>The Disconnect</w:t>
          </w:r>
          <w:r w:rsidR="00926180">
            <w:rPr>
              <w:rFonts w:ascii="Times New Roman" w:eastAsia="MS Mincho" w:hAnsi="Times New Roman" w:cs="Times New Roman"/>
              <w:b/>
              <w:bCs/>
              <w:kern w:val="0"/>
              <w:lang w:eastAsia="en-US"/>
            </w:rPr>
            <w:br/>
            <w:t>Journalist Perceptions of Media Literacy in Professional Literature</w:t>
          </w:r>
        </w:sdtContent>
      </w:sdt>
    </w:p>
    <w:p w14:paraId="31E41837" w14:textId="77777777" w:rsidR="00EE1DBD" w:rsidRPr="00EE1DBD" w:rsidRDefault="00EE1DBD" w:rsidP="003A0FB1">
      <w:pPr>
        <w:pStyle w:val="Title2"/>
        <w:rPr>
          <w:rFonts w:ascii="Times New Roman" w:hAnsi="Times New Roman" w:cs="Times New Roman"/>
        </w:rPr>
      </w:pPr>
      <w:r w:rsidRPr="00EE1DBD">
        <w:rPr>
          <w:rFonts w:ascii="Times New Roman" w:hAnsi="Times New Roman" w:cs="Times New Roman"/>
        </w:rPr>
        <w:t xml:space="preserve">Joe </w:t>
      </w:r>
      <w:proofErr w:type="spellStart"/>
      <w:r w:rsidRPr="00EE1DBD">
        <w:rPr>
          <w:rFonts w:ascii="Times New Roman" w:hAnsi="Times New Roman" w:cs="Times New Roman"/>
        </w:rPr>
        <w:t>Kohlburn</w:t>
      </w:r>
      <w:proofErr w:type="spellEnd"/>
    </w:p>
    <w:p w14:paraId="1681C688" w14:textId="6096B21C" w:rsidR="00EE1DBD" w:rsidRDefault="00EE1DBD" w:rsidP="003A0FB1">
      <w:pPr>
        <w:pStyle w:val="Title2"/>
        <w:rPr>
          <w:rFonts w:ascii="Times New Roman" w:hAnsi="Times New Roman" w:cs="Times New Roman"/>
        </w:rPr>
      </w:pPr>
      <w:r w:rsidRPr="00EE1DBD">
        <w:rPr>
          <w:rFonts w:ascii="Times New Roman" w:hAnsi="Times New Roman" w:cs="Times New Roman"/>
        </w:rPr>
        <w:t xml:space="preserve">University of Missouri </w:t>
      </w:r>
      <w:r w:rsidR="003A0FB1">
        <w:rPr>
          <w:rFonts w:ascii="Times New Roman" w:hAnsi="Times New Roman" w:cs="Times New Roman"/>
        </w:rPr>
        <w:t>–</w:t>
      </w:r>
      <w:r w:rsidRPr="00EE1DBD">
        <w:rPr>
          <w:rFonts w:ascii="Times New Roman" w:hAnsi="Times New Roman" w:cs="Times New Roman"/>
        </w:rPr>
        <w:t xml:space="preserve"> Columbia</w:t>
      </w:r>
    </w:p>
    <w:p w14:paraId="5E769F6D" w14:textId="49231682" w:rsidR="003A0FB1" w:rsidRDefault="003A0FB1" w:rsidP="003A0FB1">
      <w:pPr>
        <w:pStyle w:val="Title2"/>
        <w:rPr>
          <w:rFonts w:ascii="Times New Roman" w:hAnsi="Times New Roman" w:cs="Times New Roman"/>
        </w:rPr>
      </w:pPr>
      <w:r>
        <w:rPr>
          <w:rFonts w:ascii="Times New Roman" w:hAnsi="Times New Roman" w:cs="Times New Roman"/>
        </w:rPr>
        <w:t>Media Sociology</w:t>
      </w:r>
    </w:p>
    <w:p w14:paraId="6223645F" w14:textId="4379F4B5" w:rsidR="003A0FB1" w:rsidRDefault="003A0FB1" w:rsidP="003A0FB1">
      <w:pPr>
        <w:pStyle w:val="Title2"/>
        <w:rPr>
          <w:rFonts w:ascii="Times New Roman" w:hAnsi="Times New Roman" w:cs="Times New Roman"/>
        </w:rPr>
      </w:pPr>
      <w:r>
        <w:rPr>
          <w:rFonts w:ascii="Times New Roman" w:hAnsi="Times New Roman" w:cs="Times New Roman"/>
        </w:rPr>
        <w:t xml:space="preserve">Dr. Amanda </w:t>
      </w:r>
      <w:proofErr w:type="spellStart"/>
      <w:r>
        <w:rPr>
          <w:rFonts w:ascii="Times New Roman" w:hAnsi="Times New Roman" w:cs="Times New Roman"/>
        </w:rPr>
        <w:t>Hinnant</w:t>
      </w:r>
      <w:proofErr w:type="spellEnd"/>
    </w:p>
    <w:p w14:paraId="38ADA17D" w14:textId="45C297A1" w:rsidR="003A0FB1" w:rsidRPr="00EE1DBD" w:rsidRDefault="003A0FB1" w:rsidP="003A0FB1">
      <w:pPr>
        <w:pStyle w:val="Title2"/>
        <w:rPr>
          <w:rFonts w:ascii="Times New Roman" w:hAnsi="Times New Roman" w:cs="Times New Roman"/>
        </w:rPr>
      </w:pPr>
      <w:r>
        <w:rPr>
          <w:rFonts w:ascii="Times New Roman" w:hAnsi="Times New Roman" w:cs="Times New Roman"/>
        </w:rPr>
        <w:t>May 7, 2020</w:t>
      </w:r>
    </w:p>
    <w:p w14:paraId="7AF4AAB4" w14:textId="737CF5D2" w:rsidR="00BC23FB" w:rsidRPr="00EE1DBD" w:rsidRDefault="00BC23FB" w:rsidP="003A0FB1">
      <w:pPr>
        <w:spacing w:line="480" w:lineRule="auto"/>
        <w:rPr>
          <w:b/>
          <w:bCs/>
        </w:rPr>
      </w:pPr>
    </w:p>
    <w:p w14:paraId="1BEF791F" w14:textId="4D0654A1" w:rsidR="00EE1DBD" w:rsidRPr="00EE1DBD" w:rsidRDefault="00EE1DBD" w:rsidP="003A0FB1">
      <w:pPr>
        <w:spacing w:line="480" w:lineRule="auto"/>
        <w:rPr>
          <w:b/>
          <w:bCs/>
        </w:rPr>
      </w:pPr>
    </w:p>
    <w:p w14:paraId="06E99170" w14:textId="77777777" w:rsidR="00EE1DBD" w:rsidRPr="00EE1DBD" w:rsidRDefault="00EE1DBD" w:rsidP="003A0FB1">
      <w:pPr>
        <w:spacing w:line="480" w:lineRule="auto"/>
      </w:pPr>
    </w:p>
    <w:p w14:paraId="3BAE36F2" w14:textId="77777777" w:rsidR="00EE1DBD" w:rsidRPr="00EE1DBD" w:rsidRDefault="00EE1DBD" w:rsidP="003A0FB1">
      <w:pPr>
        <w:spacing w:line="480" w:lineRule="auto"/>
        <w:jc w:val="center"/>
        <w:rPr>
          <w:b/>
          <w:bCs/>
          <w:highlight w:val="yellow"/>
        </w:rPr>
      </w:pPr>
    </w:p>
    <w:p w14:paraId="0B403DEB" w14:textId="77777777" w:rsidR="00EE1DBD" w:rsidRPr="00EE1DBD" w:rsidRDefault="00EE1DBD" w:rsidP="003A0FB1">
      <w:pPr>
        <w:spacing w:line="480" w:lineRule="auto"/>
        <w:jc w:val="center"/>
        <w:rPr>
          <w:b/>
          <w:bCs/>
          <w:highlight w:val="yellow"/>
        </w:rPr>
      </w:pPr>
    </w:p>
    <w:p w14:paraId="5BB0B5B0" w14:textId="77777777" w:rsidR="00EE1DBD" w:rsidRPr="00EE1DBD" w:rsidRDefault="00EE1DBD" w:rsidP="003A0FB1">
      <w:pPr>
        <w:spacing w:line="480" w:lineRule="auto"/>
        <w:jc w:val="center"/>
        <w:rPr>
          <w:b/>
          <w:bCs/>
          <w:highlight w:val="yellow"/>
        </w:rPr>
      </w:pPr>
    </w:p>
    <w:p w14:paraId="49AF90EC" w14:textId="77777777" w:rsidR="00EE1DBD" w:rsidRPr="00EE1DBD" w:rsidRDefault="00EE1DBD" w:rsidP="003A0FB1">
      <w:pPr>
        <w:spacing w:line="480" w:lineRule="auto"/>
        <w:jc w:val="center"/>
        <w:rPr>
          <w:b/>
          <w:bCs/>
          <w:highlight w:val="yellow"/>
        </w:rPr>
      </w:pPr>
    </w:p>
    <w:p w14:paraId="0AD0D166" w14:textId="77777777" w:rsidR="00EE1DBD" w:rsidRPr="00EE1DBD" w:rsidRDefault="00EE1DBD" w:rsidP="003A0FB1">
      <w:pPr>
        <w:spacing w:line="480" w:lineRule="auto"/>
        <w:jc w:val="center"/>
        <w:rPr>
          <w:b/>
          <w:bCs/>
          <w:highlight w:val="yellow"/>
        </w:rPr>
      </w:pPr>
    </w:p>
    <w:p w14:paraId="0E5D7861" w14:textId="021D7B7C" w:rsidR="003A0FB1" w:rsidRDefault="003A0FB1" w:rsidP="003A0FB1">
      <w:pPr>
        <w:spacing w:line="480" w:lineRule="auto"/>
        <w:rPr>
          <w:b/>
          <w:bCs/>
        </w:rPr>
      </w:pPr>
    </w:p>
    <w:p w14:paraId="4017060F" w14:textId="4E504844" w:rsidR="00926180" w:rsidRDefault="00926180" w:rsidP="003A0FB1">
      <w:pPr>
        <w:spacing w:line="480" w:lineRule="auto"/>
        <w:rPr>
          <w:b/>
          <w:bCs/>
        </w:rPr>
      </w:pPr>
    </w:p>
    <w:p w14:paraId="78F128E0" w14:textId="56BA00DA" w:rsidR="00926180" w:rsidRDefault="00926180" w:rsidP="003A0FB1">
      <w:pPr>
        <w:spacing w:line="480" w:lineRule="auto"/>
        <w:rPr>
          <w:b/>
          <w:bCs/>
        </w:rPr>
      </w:pPr>
    </w:p>
    <w:p w14:paraId="38BF7F31" w14:textId="77777777" w:rsidR="00926180" w:rsidRDefault="00926180" w:rsidP="003A0FB1">
      <w:pPr>
        <w:spacing w:line="480" w:lineRule="auto"/>
        <w:rPr>
          <w:b/>
          <w:bCs/>
        </w:rPr>
      </w:pPr>
    </w:p>
    <w:p w14:paraId="4DDF3644" w14:textId="05609411" w:rsidR="00FC7058" w:rsidRPr="00EE1DBD" w:rsidRDefault="00BC23FB" w:rsidP="004C6DA4">
      <w:pPr>
        <w:spacing w:line="480" w:lineRule="auto"/>
        <w:jc w:val="center"/>
        <w:rPr>
          <w:b/>
          <w:bCs/>
        </w:rPr>
      </w:pPr>
      <w:r w:rsidRPr="001E02AF">
        <w:rPr>
          <w:b/>
          <w:bCs/>
        </w:rPr>
        <w:lastRenderedPageBreak/>
        <w:t>Abstract</w:t>
      </w:r>
    </w:p>
    <w:p w14:paraId="7A304505" w14:textId="51664645" w:rsidR="0023636F" w:rsidRPr="00EE1DBD" w:rsidRDefault="0023636F" w:rsidP="003A0FB1">
      <w:pPr>
        <w:spacing w:line="480" w:lineRule="auto"/>
      </w:pPr>
      <w:r>
        <w:rPr>
          <w:b/>
          <w:bCs/>
        </w:rPr>
        <w:tab/>
      </w:r>
      <w:r w:rsidR="00AF4C03">
        <w:t>Media literacy</w:t>
      </w:r>
      <w:r>
        <w:t xml:space="preserve"> is a </w:t>
      </w:r>
      <w:r w:rsidR="00AF4C03">
        <w:t>critical</w:t>
      </w:r>
      <w:r>
        <w:t xml:space="preserve"> element of </w:t>
      </w:r>
      <w:r w:rsidR="00AF4C03">
        <w:t>journalists’</w:t>
      </w:r>
      <w:r>
        <w:t xml:space="preserve"> </w:t>
      </w:r>
      <w:r w:rsidR="004C6DA4">
        <w:t>everyday work</w:t>
      </w:r>
      <w:r w:rsidR="0065102A">
        <w:t>, but what of</w:t>
      </w:r>
      <w:r>
        <w:t xml:space="preserve"> media literacy outside the context of direct reporting? This pilot study searches professional and trade publications in the Discourses on Journalism Database (</w:t>
      </w:r>
      <w:proofErr w:type="spellStart"/>
      <w:r>
        <w:t>DoJo</w:t>
      </w:r>
      <w:proofErr w:type="spellEnd"/>
      <w:r>
        <w:t xml:space="preserve">) for journalists’ discussions of media literacy to see what themes emerge, whether </w:t>
      </w:r>
      <w:r w:rsidR="001E02AF">
        <w:t>journalists</w:t>
      </w:r>
      <w:r>
        <w:t xml:space="preserve"> are positively, negatively, or neutrally orientated toward media literacy, and how their discussions fit into Shoemaker and Reese’s Hierarchy of Influences model (2014). This pilot study uses grounded theory through textual analysis to discern emergent themes, attitudes, and sociological hierarchies within journalists</w:t>
      </w:r>
      <w:r w:rsidR="004C6DA4">
        <w:t>’</w:t>
      </w:r>
      <w:r>
        <w:t xml:space="preserve"> </w:t>
      </w:r>
      <w:r w:rsidR="004C6DA4">
        <w:t>articles written</w:t>
      </w:r>
      <w:r>
        <w:t xml:space="preserve"> for and about other journalists. Tentative conclusions include a skepticism of how corporate entities and media organizations promote media literacy, especially as it </w:t>
      </w:r>
      <w:r w:rsidR="001E02AF">
        <w:t>privileges</w:t>
      </w:r>
      <w:r>
        <w:t xml:space="preserve"> </w:t>
      </w:r>
      <w:proofErr w:type="gramStart"/>
      <w:r>
        <w:t>particular types</w:t>
      </w:r>
      <w:proofErr w:type="gramEnd"/>
      <w:r>
        <w:t xml:space="preserve"> of media over other, as well as an expressed awareness of the importance of media literacy from a professional and organizational standpoint. Furthermore, journalists tend to situate media literacy at the social institutions level of Shoemaker and Reese’s hierarchy, which suggests that media literacy is conceptualized as a tangible idea rooted in actual businesses and institutions outside the realm of media organizations. </w:t>
      </w:r>
    </w:p>
    <w:p w14:paraId="4C4CBDC9" w14:textId="28D4C029" w:rsidR="002C581C" w:rsidRDefault="002C581C" w:rsidP="003A0FB1">
      <w:pPr>
        <w:spacing w:line="480" w:lineRule="auto"/>
        <w:rPr>
          <w:b/>
          <w:bCs/>
        </w:rPr>
      </w:pPr>
    </w:p>
    <w:p w14:paraId="6E20FE0E" w14:textId="77777777" w:rsidR="002C581C" w:rsidRPr="00EE1DBD" w:rsidRDefault="002C581C" w:rsidP="003A0FB1">
      <w:pPr>
        <w:spacing w:line="480" w:lineRule="auto"/>
      </w:pPr>
    </w:p>
    <w:p w14:paraId="761FB0D5" w14:textId="76248DD4" w:rsidR="00BC23FB" w:rsidRPr="00EE1DBD" w:rsidRDefault="00BC23FB" w:rsidP="003A0FB1">
      <w:pPr>
        <w:spacing w:line="480" w:lineRule="auto"/>
      </w:pPr>
      <w:r w:rsidRPr="00EE1DBD">
        <w:t>Keywords</w:t>
      </w:r>
      <w:r w:rsidR="00A06BE4" w:rsidRPr="00EE1DBD">
        <w:t xml:space="preserve">- media literacy, </w:t>
      </w:r>
      <w:r w:rsidR="00CB2A20" w:rsidRPr="00EE1DBD">
        <w:t xml:space="preserve">hierarchy of influences </w:t>
      </w:r>
      <w:r w:rsidR="001E02AF" w:rsidRPr="00EE1DBD">
        <w:t xml:space="preserve">model, </w:t>
      </w:r>
      <w:proofErr w:type="gramStart"/>
      <w:r w:rsidR="001E02AF">
        <w:t xml:space="preserve">journalists, </w:t>
      </w:r>
      <w:r w:rsidR="00CB2A20" w:rsidRPr="00EE1DBD">
        <w:t xml:space="preserve"> perceptions</w:t>
      </w:r>
      <w:proofErr w:type="gramEnd"/>
      <w:r w:rsidR="0023636F">
        <w:t xml:space="preserve">, </w:t>
      </w:r>
      <w:proofErr w:type="spellStart"/>
      <w:r w:rsidR="0023636F">
        <w:t>DoJo</w:t>
      </w:r>
      <w:proofErr w:type="spellEnd"/>
      <w:r w:rsidR="001E02AF">
        <w:t xml:space="preserve"> database</w:t>
      </w:r>
    </w:p>
    <w:p w14:paraId="2A47A06D" w14:textId="4202F9F8" w:rsidR="00BC23FB" w:rsidRDefault="00BC23FB" w:rsidP="003A0FB1">
      <w:pPr>
        <w:spacing w:line="480" w:lineRule="auto"/>
      </w:pPr>
    </w:p>
    <w:p w14:paraId="073C8886" w14:textId="77777777" w:rsidR="001C3E39" w:rsidRPr="00EE1DBD" w:rsidRDefault="001C3E39" w:rsidP="003A0FB1">
      <w:pPr>
        <w:spacing w:line="480" w:lineRule="auto"/>
      </w:pPr>
    </w:p>
    <w:p w14:paraId="297D36F3" w14:textId="5BA2AB7E" w:rsidR="001E02AF" w:rsidRDefault="001E02AF" w:rsidP="003A0FB1">
      <w:pPr>
        <w:spacing w:line="480" w:lineRule="auto"/>
        <w:rPr>
          <w:b/>
          <w:bCs/>
        </w:rPr>
      </w:pPr>
    </w:p>
    <w:p w14:paraId="0A99E63B" w14:textId="77777777" w:rsidR="0065102A" w:rsidRDefault="0065102A" w:rsidP="003A0FB1">
      <w:pPr>
        <w:spacing w:line="480" w:lineRule="auto"/>
        <w:rPr>
          <w:b/>
          <w:bCs/>
        </w:rPr>
      </w:pPr>
    </w:p>
    <w:p w14:paraId="263C1CB1" w14:textId="2190B188" w:rsidR="00EE1DBD" w:rsidRPr="003A0FB1" w:rsidRDefault="00EE1DBD" w:rsidP="003A0FB1">
      <w:pPr>
        <w:spacing w:line="480" w:lineRule="auto"/>
        <w:rPr>
          <w:rFonts w:eastAsia="MS Mincho"/>
          <w:b/>
          <w:bCs/>
        </w:rPr>
      </w:pPr>
      <w:r w:rsidRPr="00EE1DBD">
        <w:rPr>
          <w:rFonts w:eastAsia="MS Mincho"/>
          <w:b/>
          <w:bCs/>
        </w:rPr>
        <w:lastRenderedPageBreak/>
        <w:t xml:space="preserve">The Disconnect: Journalist Perceptions of Media Literacy in Professional Literature </w:t>
      </w:r>
    </w:p>
    <w:p w14:paraId="5F43AFA1" w14:textId="5DFCA28B" w:rsidR="00A06BE4" w:rsidRPr="00EE1DBD" w:rsidRDefault="00B748E4" w:rsidP="003A0FB1">
      <w:pPr>
        <w:spacing w:line="480" w:lineRule="auto"/>
        <w:ind w:firstLine="720"/>
      </w:pPr>
      <w:r w:rsidRPr="00EE1DBD">
        <w:rPr>
          <w:rFonts w:eastAsia="MS Mincho"/>
          <w:bCs/>
        </w:rPr>
        <w:t xml:space="preserve">On January 6, 2021, PBS reporter Lisa </w:t>
      </w:r>
      <w:proofErr w:type="spellStart"/>
      <w:r w:rsidRPr="00EE1DBD">
        <w:rPr>
          <w:rFonts w:eastAsia="MS Mincho"/>
          <w:bCs/>
        </w:rPr>
        <w:t>Dejardins</w:t>
      </w:r>
      <w:proofErr w:type="spellEnd"/>
      <w:r w:rsidRPr="00EE1DBD">
        <w:rPr>
          <w:rFonts w:eastAsia="MS Mincho"/>
          <w:bCs/>
        </w:rPr>
        <w:t xml:space="preserve"> found herself </w:t>
      </w:r>
      <w:proofErr w:type="gramStart"/>
      <w:r w:rsidRPr="00EE1DBD">
        <w:rPr>
          <w:rFonts w:eastAsia="MS Mincho"/>
          <w:bCs/>
        </w:rPr>
        <w:t>in the midst of</w:t>
      </w:r>
      <w:proofErr w:type="gramEnd"/>
      <w:r w:rsidRPr="00EE1DBD">
        <w:rPr>
          <w:rFonts w:eastAsia="MS Mincho"/>
          <w:bCs/>
        </w:rPr>
        <w:t xml:space="preserve"> insurrection. She narrated her experience from her hiding place between two heavy pieces of furniture as a mob invaded the U.S. capitol (PBS, 2021). Following up on NPR a few days later, </w:t>
      </w:r>
      <w:proofErr w:type="spellStart"/>
      <w:r w:rsidRPr="00EE1DBD">
        <w:rPr>
          <w:rFonts w:eastAsia="MS Mincho"/>
          <w:bCs/>
        </w:rPr>
        <w:t>Dejardins</w:t>
      </w:r>
      <w:proofErr w:type="spellEnd"/>
      <w:r w:rsidRPr="00EE1DBD">
        <w:rPr>
          <w:rFonts w:eastAsia="MS Mincho"/>
          <w:bCs/>
        </w:rPr>
        <w:t xml:space="preserve"> pointed to a paradigmatic “disconnect” between the reporters, the </w:t>
      </w:r>
      <w:proofErr w:type="gramStart"/>
      <w:r w:rsidRPr="00EE1DBD">
        <w:rPr>
          <w:rFonts w:eastAsia="MS Mincho"/>
          <w:bCs/>
        </w:rPr>
        <w:t>police</w:t>
      </w:r>
      <w:proofErr w:type="gramEnd"/>
      <w:r w:rsidRPr="00EE1DBD">
        <w:rPr>
          <w:rFonts w:eastAsia="MS Mincho"/>
          <w:bCs/>
        </w:rPr>
        <w:t xml:space="preserve"> and the mob </w:t>
      </w:r>
      <w:r w:rsidRPr="00EE1DBD">
        <w:t>(Chang, 2021, paras. 7-9)</w:t>
      </w:r>
      <w:r w:rsidRPr="00EE1DBD">
        <w:rPr>
          <w:rFonts w:eastAsia="MS Mincho"/>
          <w:bCs/>
        </w:rPr>
        <w:t xml:space="preserve">.  This apparent “disconnect” reflects a similar problem in broader American culture, which Pew examines in their recently-published </w:t>
      </w:r>
      <w:r w:rsidRPr="00EE1DBD">
        <w:rPr>
          <w:rFonts w:eastAsia="MS Mincho"/>
          <w:bCs/>
          <w:i/>
          <w:iCs/>
        </w:rPr>
        <w:t>How Americans Navigated the News in 2020: A Tumultuous Year in Review</w:t>
      </w:r>
      <w:r w:rsidRPr="00EE1DBD">
        <w:rPr>
          <w:rFonts w:eastAsia="MS Mincho"/>
          <w:bCs/>
        </w:rPr>
        <w:t xml:space="preserve"> (Mitchell, Oliphant, &amp; </w:t>
      </w:r>
      <w:proofErr w:type="gramStart"/>
      <w:r w:rsidRPr="00EE1DBD">
        <w:rPr>
          <w:rFonts w:eastAsia="MS Mincho"/>
          <w:bCs/>
        </w:rPr>
        <w:t>Shearer,  2021</w:t>
      </w:r>
      <w:proofErr w:type="gramEnd"/>
      <w:r w:rsidRPr="00EE1DBD">
        <w:rPr>
          <w:rFonts w:eastAsia="MS Mincho"/>
          <w:bCs/>
        </w:rPr>
        <w:t xml:space="preserve">).  The report explains that not only does political affiliation tend to dictate and reinforce choice of particular outlets for information </w:t>
      </w:r>
      <w:proofErr w:type="gramStart"/>
      <w:r w:rsidRPr="00EE1DBD">
        <w:rPr>
          <w:rFonts w:eastAsia="MS Mincho"/>
          <w:bCs/>
        </w:rPr>
        <w:t>seeking,  it</w:t>
      </w:r>
      <w:proofErr w:type="gramEnd"/>
      <w:r w:rsidRPr="00EE1DBD">
        <w:rPr>
          <w:rFonts w:eastAsia="MS Mincho"/>
          <w:bCs/>
        </w:rPr>
        <w:t xml:space="preserve"> also tends to determine the possibilities for what constitutes “news” within a given person’s taxonomy of news sources (i.e. is news you disagree with still news?) (Mitchell et. al., 2021). This inevitably raises questions about the possibilities for media literacy as an info-seeking panacea.</w:t>
      </w:r>
      <w:r w:rsidR="00A06BE4" w:rsidRPr="00EE1DBD">
        <w:rPr>
          <w:rFonts w:eastAsia="MS Mincho"/>
          <w:bCs/>
        </w:rPr>
        <w:t xml:space="preserve"> Media literacy has been discussed in literature for decades (</w:t>
      </w:r>
      <w:proofErr w:type="spellStart"/>
      <w:r w:rsidR="00A06BE4" w:rsidRPr="00EE1DBD">
        <w:rPr>
          <w:rFonts w:eastAsia="MS Mincho"/>
          <w:bCs/>
        </w:rPr>
        <w:t>Thoman</w:t>
      </w:r>
      <w:proofErr w:type="spellEnd"/>
      <w:r w:rsidR="00A06BE4" w:rsidRPr="00EE1DBD">
        <w:rPr>
          <w:rFonts w:eastAsia="MS Mincho"/>
          <w:bCs/>
        </w:rPr>
        <w:t xml:space="preserve"> &amp; </w:t>
      </w:r>
      <w:proofErr w:type="spellStart"/>
      <w:r w:rsidR="00A06BE4" w:rsidRPr="00EE1DBD">
        <w:rPr>
          <w:rFonts w:eastAsia="MS Mincho"/>
          <w:bCs/>
        </w:rPr>
        <w:t>Jolls</w:t>
      </w:r>
      <w:proofErr w:type="spellEnd"/>
      <w:r w:rsidR="00A06BE4" w:rsidRPr="00EE1DBD">
        <w:rPr>
          <w:rFonts w:eastAsia="MS Mincho"/>
          <w:bCs/>
        </w:rPr>
        <w:t>, 2004)</w:t>
      </w:r>
      <w:r w:rsidR="003F123D" w:rsidRPr="00EE1DBD">
        <w:rPr>
          <w:rFonts w:eastAsia="MS Mincho"/>
          <w:bCs/>
        </w:rPr>
        <w:t xml:space="preserve">, but with the beginning of the Trump presidency, the rules have changed, or at least, the stakes are suddenly higher (Mason, </w:t>
      </w:r>
      <w:proofErr w:type="spellStart"/>
      <w:r w:rsidR="003F123D" w:rsidRPr="00EE1DBD">
        <w:t>Krutka</w:t>
      </w:r>
      <w:proofErr w:type="spellEnd"/>
      <w:r w:rsidR="003F123D" w:rsidRPr="00EE1DBD">
        <w:t>, &amp; Stoddard, 2018;</w:t>
      </w:r>
      <w:r w:rsidR="00F14D81" w:rsidRPr="00EE1DBD">
        <w:t xml:space="preserve"> </w:t>
      </w:r>
      <w:r w:rsidR="00F14D81" w:rsidRPr="00EE1DBD">
        <w:rPr>
          <w:rFonts w:eastAsia="MS Mincho"/>
          <w:bCs/>
        </w:rPr>
        <w:t>Jones-Jang, Mortensen, &amp; Liu, 2021</w:t>
      </w:r>
      <w:r w:rsidR="003F123D" w:rsidRPr="00EE1DBD">
        <w:t xml:space="preserve">). This study will comb professional journalist literature from </w:t>
      </w:r>
      <w:r w:rsidR="00F14D81" w:rsidRPr="00EE1DBD">
        <w:t xml:space="preserve">the announcement of Trump’s candidacy on June 16, 2015 to the day he left office on January 19, 2021. Through a textual analysis, I will examine the framing of media literacy efforts by professional journalists </w:t>
      </w:r>
      <w:r w:rsidR="0062065D" w:rsidRPr="00EE1DBD">
        <w:t xml:space="preserve">and how it impacted their work in news media during a </w:t>
      </w:r>
      <w:r w:rsidR="00AF4C03">
        <w:t>this</w:t>
      </w:r>
      <w:r w:rsidR="0062065D" w:rsidRPr="00EE1DBD">
        <w:t xml:space="preserve"> period, </w:t>
      </w:r>
      <w:r w:rsidR="00F14D81" w:rsidRPr="00EE1DBD">
        <w:t>through the lens of Shoemaker and Reese’s</w:t>
      </w:r>
      <w:r w:rsidR="0065102A">
        <w:t xml:space="preserve"> (2014)</w:t>
      </w:r>
      <w:r w:rsidR="00F14D81" w:rsidRPr="00EE1DBD">
        <w:t xml:space="preserve"> </w:t>
      </w:r>
      <w:r w:rsidR="0062065D" w:rsidRPr="00EE1DBD">
        <w:t>Hierarchy</w:t>
      </w:r>
      <w:r w:rsidR="00F14D81" w:rsidRPr="00EE1DBD">
        <w:t xml:space="preserve"> of Influences model</w:t>
      </w:r>
      <w:r w:rsidR="0062065D" w:rsidRPr="00EE1DBD">
        <w:t xml:space="preserve">. </w:t>
      </w:r>
    </w:p>
    <w:p w14:paraId="2A7A5E84" w14:textId="213D9CEA" w:rsidR="00277996" w:rsidRPr="003A0FB1" w:rsidRDefault="00277996" w:rsidP="003A0FB1">
      <w:pPr>
        <w:spacing w:line="480" w:lineRule="auto"/>
        <w:ind w:firstLine="720"/>
        <w:rPr>
          <w:rFonts w:eastAsia="MS Mincho"/>
          <w:bCs/>
        </w:rPr>
      </w:pPr>
      <w:r w:rsidRPr="00EE1DBD">
        <w:rPr>
          <w:rFonts w:eastAsia="MS Mincho"/>
        </w:rPr>
        <w:t xml:space="preserve">The </w:t>
      </w:r>
      <w:r w:rsidR="00AF4C03">
        <w:rPr>
          <w:rFonts w:eastAsia="MS Mincho"/>
        </w:rPr>
        <w:t>scholarly conversation around</w:t>
      </w:r>
      <w:r w:rsidRPr="00EE1DBD">
        <w:rPr>
          <w:rFonts w:eastAsia="MS Mincho"/>
        </w:rPr>
        <w:t xml:space="preserve"> effective media literacy begs the question of how journalists themselves think media literacy efforts are progressing. Getting a better sense of this could tell us more about how journalists understand the perceptions of their audience, the </w:t>
      </w:r>
      <w:r w:rsidRPr="00EE1DBD">
        <w:rPr>
          <w:rFonts w:eastAsia="MS Mincho"/>
        </w:rPr>
        <w:lastRenderedPageBreak/>
        <w:t xml:space="preserve">expectations of the academy, and how they either do or do not cater their professional practices to these perceptions.  Do the structures and methodologies for media literacy pedagogy prove useful and practical for the audience of news media? Do journalists consider the ability of their audience to determine what is reliable information and what is not?  Investigating </w:t>
      </w:r>
      <w:r w:rsidR="00AF4C03">
        <w:rPr>
          <w:rFonts w:eastAsia="MS Mincho"/>
        </w:rPr>
        <w:t>these</w:t>
      </w:r>
      <w:r w:rsidRPr="00EE1DBD">
        <w:rPr>
          <w:rFonts w:eastAsia="MS Mincho"/>
        </w:rPr>
        <w:t xml:space="preserve"> question</w:t>
      </w:r>
      <w:r w:rsidR="00AF4C03">
        <w:rPr>
          <w:rFonts w:eastAsia="MS Mincho"/>
        </w:rPr>
        <w:t>s</w:t>
      </w:r>
      <w:r w:rsidRPr="00EE1DBD">
        <w:rPr>
          <w:rFonts w:eastAsia="MS Mincho"/>
        </w:rPr>
        <w:t xml:space="preserve"> could also tell us how systems of social control interact with one another and how competing paradigms conflict among populations of professionals and consumers of news media.  The purpose of this study is to understand the perceptions of journalists about media literacy as it is expressed in trade publications and other professional outlets. By accounting for these perceptions, it will be possible to get a better sense of where to go with media literacy pedagogy and programming, </w:t>
      </w:r>
      <w:r w:rsidR="00AF4C03">
        <w:rPr>
          <w:rFonts w:eastAsia="MS Mincho"/>
        </w:rPr>
        <w:t xml:space="preserve">and how </w:t>
      </w:r>
      <w:r w:rsidRPr="00EE1DBD">
        <w:rPr>
          <w:rFonts w:eastAsia="MS Mincho"/>
        </w:rPr>
        <w:t xml:space="preserve">to </w:t>
      </w:r>
      <w:proofErr w:type="gramStart"/>
      <w:r w:rsidRPr="00EE1DBD">
        <w:rPr>
          <w:rFonts w:eastAsia="MS Mincho"/>
        </w:rPr>
        <w:t>more authentically depict the practices of news production</w:t>
      </w:r>
      <w:proofErr w:type="gramEnd"/>
      <w:r w:rsidRPr="00EE1DBD">
        <w:rPr>
          <w:rFonts w:eastAsia="MS Mincho"/>
        </w:rPr>
        <w:t>, and to better understand how journalists might meet the information needs of audiences beyond catering to their political predispositions.</w:t>
      </w:r>
    </w:p>
    <w:p w14:paraId="5D79DA2B" w14:textId="1C8F7FF9" w:rsidR="00B748E4" w:rsidRPr="003A0FB1" w:rsidRDefault="00BC23FB" w:rsidP="003A0FB1">
      <w:pPr>
        <w:spacing w:line="480" w:lineRule="auto"/>
        <w:jc w:val="center"/>
        <w:rPr>
          <w:b/>
          <w:bCs/>
        </w:rPr>
      </w:pPr>
      <w:r w:rsidRPr="00EE1DBD">
        <w:rPr>
          <w:b/>
          <w:bCs/>
        </w:rPr>
        <w:t>Lit</w:t>
      </w:r>
      <w:r w:rsidR="006210AA" w:rsidRPr="00EE1DBD">
        <w:rPr>
          <w:b/>
          <w:bCs/>
        </w:rPr>
        <w:t>erature</w:t>
      </w:r>
      <w:r w:rsidRPr="00EE1DBD">
        <w:rPr>
          <w:b/>
          <w:bCs/>
        </w:rPr>
        <w:t xml:space="preserve"> Review</w:t>
      </w:r>
    </w:p>
    <w:p w14:paraId="2D45F6FE" w14:textId="29518382" w:rsidR="00B748E4" w:rsidRPr="00EE1DBD" w:rsidRDefault="00B748E4" w:rsidP="003A0FB1">
      <w:pPr>
        <w:spacing w:line="480" w:lineRule="auto"/>
        <w:ind w:firstLine="720"/>
        <w:rPr>
          <w:rFonts w:eastAsia="MS Mincho"/>
          <w:bCs/>
        </w:rPr>
      </w:pPr>
      <w:r w:rsidRPr="00EE1DBD">
        <w:rPr>
          <w:rFonts w:eastAsia="MS Mincho"/>
          <w:bCs/>
        </w:rPr>
        <w:t xml:space="preserve">Much ink has been spilled on the struggles of students to understand how media works, specifically online news media (Mason, </w:t>
      </w:r>
      <w:proofErr w:type="spellStart"/>
      <w:r w:rsidRPr="00EE1DBD">
        <w:rPr>
          <w:rFonts w:eastAsia="MS Mincho"/>
          <w:bCs/>
        </w:rPr>
        <w:t>Krutka</w:t>
      </w:r>
      <w:proofErr w:type="spellEnd"/>
      <w:r w:rsidRPr="00EE1DBD">
        <w:rPr>
          <w:rFonts w:eastAsia="MS Mincho"/>
          <w:bCs/>
        </w:rPr>
        <w:t>, &amp; Stoddard, 2018</w:t>
      </w:r>
      <w:r w:rsidR="00AF4C03">
        <w:rPr>
          <w:rFonts w:eastAsia="MS Mincho"/>
          <w:bCs/>
        </w:rPr>
        <w:t xml:space="preserve">; </w:t>
      </w:r>
      <w:proofErr w:type="spellStart"/>
      <w:r w:rsidRPr="00EE1DBD">
        <w:rPr>
          <w:rFonts w:eastAsia="MS Mincho"/>
          <w:bCs/>
        </w:rPr>
        <w:t>Hargittai</w:t>
      </w:r>
      <w:proofErr w:type="spellEnd"/>
      <w:r w:rsidRPr="00EE1DBD">
        <w:rPr>
          <w:rFonts w:eastAsia="MS Mincho"/>
          <w:bCs/>
        </w:rPr>
        <w:t xml:space="preserve"> </w:t>
      </w:r>
      <w:r w:rsidRPr="00EE1DBD">
        <w:t xml:space="preserve">Fullerton, </w:t>
      </w:r>
      <w:proofErr w:type="spellStart"/>
      <w:r w:rsidRPr="00EE1DBD">
        <w:t>Menchen</w:t>
      </w:r>
      <w:proofErr w:type="spellEnd"/>
      <w:r w:rsidRPr="00EE1DBD">
        <w:t>-Trevino, &amp; Thomas</w:t>
      </w:r>
      <w:r w:rsidRPr="00EE1DBD">
        <w:rPr>
          <w:rFonts w:eastAsia="MS Mincho"/>
          <w:bCs/>
        </w:rPr>
        <w:t>, 2010</w:t>
      </w:r>
      <w:r w:rsidR="00AF4C03">
        <w:rPr>
          <w:rFonts w:eastAsia="MS Mincho"/>
          <w:bCs/>
        </w:rPr>
        <w:t xml:space="preserve">; </w:t>
      </w:r>
      <w:r w:rsidRPr="00EE1DBD">
        <w:rPr>
          <w:rFonts w:eastAsia="MS Mincho"/>
          <w:bCs/>
        </w:rPr>
        <w:t xml:space="preserve">Potter, 2010). Media literacy was initially framed as a cure-all for social problems like ideological </w:t>
      </w:r>
      <w:proofErr w:type="spellStart"/>
      <w:r w:rsidRPr="00EE1DBD">
        <w:rPr>
          <w:rFonts w:eastAsia="MS Mincho"/>
          <w:bCs/>
        </w:rPr>
        <w:t>siloing</w:t>
      </w:r>
      <w:proofErr w:type="spellEnd"/>
      <w:r w:rsidRPr="00EE1DBD">
        <w:rPr>
          <w:rFonts w:eastAsia="MS Mincho"/>
          <w:bCs/>
        </w:rPr>
        <w:t>, partisanship, and radicalization, and was elevated as a pedagogical objective in this respect (</w:t>
      </w:r>
      <w:proofErr w:type="spellStart"/>
      <w:r w:rsidRPr="00EE1DBD">
        <w:rPr>
          <w:rFonts w:eastAsia="MS Mincho"/>
          <w:bCs/>
        </w:rPr>
        <w:t>Thoman</w:t>
      </w:r>
      <w:proofErr w:type="spellEnd"/>
      <w:r w:rsidRPr="00EE1DBD">
        <w:rPr>
          <w:rFonts w:eastAsia="MS Mincho"/>
          <w:bCs/>
        </w:rPr>
        <w:t xml:space="preserve"> &amp; </w:t>
      </w:r>
      <w:proofErr w:type="spellStart"/>
      <w:r w:rsidRPr="00EE1DBD">
        <w:rPr>
          <w:rFonts w:eastAsia="MS Mincho"/>
          <w:bCs/>
        </w:rPr>
        <w:t>Jolls</w:t>
      </w:r>
      <w:proofErr w:type="spellEnd"/>
      <w:r w:rsidRPr="00EE1DBD">
        <w:rPr>
          <w:rFonts w:eastAsia="MS Mincho"/>
          <w:bCs/>
        </w:rPr>
        <w:t>, 2004).  More recently, scholars and educators have begun to question the efficacy of the model in its present state (Jones-Jang, Mortensen, &amp; Liu, 2021). Clearly, scholars spend a lot of time thinking about how to educate the general population on media literacy, without necessarily asking journalists what they see on the other side of media literacy efforts.</w:t>
      </w:r>
      <w:r w:rsidR="00BC7CB8" w:rsidRPr="00EE1DBD">
        <w:rPr>
          <w:rFonts w:eastAsia="MS Mincho"/>
          <w:bCs/>
        </w:rPr>
        <w:t xml:space="preserve"> For example, a simple Boolean search in google scholar for “media literacy” and “news” brings back over 7,000 results for 2020-21 alone. Among those </w:t>
      </w:r>
      <w:r w:rsidR="00BC7CB8" w:rsidRPr="00EE1DBD">
        <w:rPr>
          <w:rFonts w:eastAsia="MS Mincho"/>
          <w:bCs/>
        </w:rPr>
        <w:lastRenderedPageBreak/>
        <w:t xml:space="preserve">results, one is hard-pressed to find studies on the perceptions of practicing journalists (professional or citizen) about media literacy. </w:t>
      </w:r>
      <w:r w:rsidRPr="00EE1DBD">
        <w:rPr>
          <w:rFonts w:eastAsia="MS Mincho"/>
          <w:bCs/>
        </w:rPr>
        <w:t>Here we come back to the “disconnect”. Journalists not only are part of the organizations that produce news and are therefore steeped in the routine practices that support their individual professional identity, but they are also human beings who frequently come face-to-face with the outcomes of uncritical or hypercritical perceptions of “the media” in their audience.  As such, journalists likely have unique perspectives and notes that might offer corrections to media literacy’s current failings.</w:t>
      </w:r>
    </w:p>
    <w:p w14:paraId="704E17D4" w14:textId="3DF61752" w:rsidR="00E91A3F" w:rsidRPr="00EE1DBD" w:rsidRDefault="00E91A3F" w:rsidP="003A0FB1">
      <w:pPr>
        <w:spacing w:line="480" w:lineRule="auto"/>
        <w:ind w:firstLine="720"/>
        <w:rPr>
          <w:rFonts w:eastAsia="MS Mincho"/>
          <w:bCs/>
        </w:rPr>
      </w:pPr>
      <w:r w:rsidRPr="00EE1DBD">
        <w:rPr>
          <w:rFonts w:eastAsia="MS Mincho"/>
          <w:bCs/>
        </w:rPr>
        <w:t>Shoemaker and Reese’s Hierarchy of Influences</w:t>
      </w:r>
      <w:r w:rsidR="006B21DF">
        <w:rPr>
          <w:rFonts w:eastAsia="MS Mincho"/>
          <w:bCs/>
        </w:rPr>
        <w:t xml:space="preserve"> (2014)</w:t>
      </w:r>
      <w:r w:rsidRPr="00EE1DBD">
        <w:rPr>
          <w:rFonts w:eastAsia="MS Mincho"/>
          <w:bCs/>
        </w:rPr>
        <w:t xml:space="preserve"> </w:t>
      </w:r>
      <w:proofErr w:type="spellStart"/>
      <w:r w:rsidR="00B249E3" w:rsidRPr="00EE1DBD">
        <w:rPr>
          <w:rFonts w:eastAsia="MS Mincho"/>
          <w:bCs/>
        </w:rPr>
        <w:t>HoI</w:t>
      </w:r>
      <w:proofErr w:type="spellEnd"/>
      <w:r w:rsidRPr="00EE1DBD">
        <w:rPr>
          <w:rFonts w:eastAsia="MS Mincho"/>
          <w:bCs/>
        </w:rPr>
        <w:t xml:space="preserve"> </w:t>
      </w:r>
      <w:r w:rsidR="003F5CE8" w:rsidRPr="00EE1DBD">
        <w:rPr>
          <w:rFonts w:eastAsia="MS Mincho"/>
          <w:bCs/>
        </w:rPr>
        <w:t>m</w:t>
      </w:r>
      <w:r w:rsidRPr="00EE1DBD">
        <w:rPr>
          <w:rFonts w:eastAsia="MS Mincho"/>
          <w:bCs/>
        </w:rPr>
        <w:t xml:space="preserve">odel includes five tiers of influence that affect media ecology. Social systems, social institutions, media organizations, routine practices and the </w:t>
      </w:r>
      <w:r w:rsidR="00AF4C03">
        <w:rPr>
          <w:rFonts w:eastAsia="MS Mincho"/>
          <w:bCs/>
        </w:rPr>
        <w:t xml:space="preserve">values and perceptions of the </w:t>
      </w:r>
      <w:r w:rsidRPr="00EE1DBD">
        <w:rPr>
          <w:rFonts w:eastAsia="MS Mincho"/>
          <w:bCs/>
        </w:rPr>
        <w:t xml:space="preserve">individual journalist are all contributing </w:t>
      </w:r>
      <w:r w:rsidR="00AF4C03">
        <w:rPr>
          <w:rFonts w:eastAsia="MS Mincho"/>
          <w:bCs/>
        </w:rPr>
        <w:t>elements</w:t>
      </w:r>
      <w:r w:rsidRPr="00EE1DBD">
        <w:rPr>
          <w:rFonts w:eastAsia="MS Mincho"/>
          <w:bCs/>
        </w:rPr>
        <w:t xml:space="preserve"> in the way media is realized and constructed. As the authors note, these levels are not completely independent, and ought </w:t>
      </w:r>
      <w:proofErr w:type="gramStart"/>
      <w:r w:rsidRPr="00EE1DBD">
        <w:rPr>
          <w:rFonts w:eastAsia="MS Mincho"/>
          <w:bCs/>
        </w:rPr>
        <w:t>not be</w:t>
      </w:r>
      <w:proofErr w:type="gramEnd"/>
      <w:r w:rsidRPr="00EE1DBD">
        <w:rPr>
          <w:rFonts w:eastAsia="MS Mincho"/>
          <w:bCs/>
        </w:rPr>
        <w:t xml:space="preserve"> operationalized as distinct categories but as concurrent forces that affect content and individuals together. As such, this study will </w:t>
      </w:r>
      <w:r w:rsidR="00AF4C03" w:rsidRPr="00EE1DBD">
        <w:rPr>
          <w:rFonts w:eastAsia="MS Mincho"/>
          <w:bCs/>
        </w:rPr>
        <w:t>look</w:t>
      </w:r>
      <w:r w:rsidRPr="00EE1DBD">
        <w:rPr>
          <w:rFonts w:eastAsia="MS Mincho"/>
          <w:bCs/>
        </w:rPr>
        <w:t xml:space="preserve"> at the </w:t>
      </w:r>
      <w:proofErr w:type="spellStart"/>
      <w:r w:rsidR="00B249E3" w:rsidRPr="00EE1DBD">
        <w:rPr>
          <w:rFonts w:eastAsia="MS Mincho"/>
          <w:bCs/>
        </w:rPr>
        <w:t>HoI</w:t>
      </w:r>
      <w:proofErr w:type="spellEnd"/>
      <w:r w:rsidRPr="00EE1DBD">
        <w:rPr>
          <w:rFonts w:eastAsia="MS Mincho"/>
          <w:bCs/>
        </w:rPr>
        <w:t xml:space="preserve"> </w:t>
      </w:r>
      <w:r w:rsidR="003F5CE8" w:rsidRPr="00EE1DBD">
        <w:rPr>
          <w:rFonts w:eastAsia="MS Mincho"/>
          <w:bCs/>
        </w:rPr>
        <w:t>m</w:t>
      </w:r>
      <w:r w:rsidRPr="00EE1DBD">
        <w:rPr>
          <w:rFonts w:eastAsia="MS Mincho"/>
          <w:bCs/>
        </w:rPr>
        <w:t xml:space="preserve">odel to see how media literacy interacts with media sociology, and how the professional literature on journalists reflects these interactions. </w:t>
      </w:r>
      <w:r w:rsidR="00A768BD" w:rsidRPr="00EE1DBD">
        <w:rPr>
          <w:rFonts w:eastAsia="MS Mincho"/>
          <w:bCs/>
        </w:rPr>
        <w:t xml:space="preserve">My hypothesis is that most of the data will correspond to multiple levels of the </w:t>
      </w:r>
      <w:proofErr w:type="spellStart"/>
      <w:r w:rsidR="00A768BD" w:rsidRPr="00EE1DBD">
        <w:rPr>
          <w:rFonts w:eastAsia="MS Mincho"/>
          <w:bCs/>
        </w:rPr>
        <w:t>HoI</w:t>
      </w:r>
      <w:proofErr w:type="spellEnd"/>
      <w:r w:rsidR="00A768BD" w:rsidRPr="00EE1DBD">
        <w:rPr>
          <w:rFonts w:eastAsia="MS Mincho"/>
          <w:bCs/>
        </w:rPr>
        <w:t xml:space="preserve"> model. </w:t>
      </w:r>
    </w:p>
    <w:p w14:paraId="076DA26E" w14:textId="08253476" w:rsidR="00CF169C" w:rsidRPr="00EE1DBD" w:rsidRDefault="00CB2A20" w:rsidP="003A0FB1">
      <w:pPr>
        <w:spacing w:line="480" w:lineRule="auto"/>
        <w:ind w:firstLine="720"/>
        <w:rPr>
          <w:rFonts w:eastAsia="MS Mincho"/>
          <w:highlight w:val="yellow"/>
        </w:rPr>
      </w:pPr>
      <w:r w:rsidRPr="00EE1DBD">
        <w:rPr>
          <w:rFonts w:eastAsia="MS Mincho"/>
        </w:rPr>
        <w:t>Journalists’ perceptions are an oft-studied topi</w:t>
      </w:r>
      <w:r w:rsidR="005C2B25" w:rsidRPr="00EE1DBD">
        <w:rPr>
          <w:rFonts w:eastAsia="MS Mincho"/>
        </w:rPr>
        <w:t>c, and occasionally, one</w:t>
      </w:r>
      <w:r w:rsidRPr="00EE1DBD">
        <w:rPr>
          <w:rFonts w:eastAsia="MS Mincho"/>
        </w:rPr>
        <w:t xml:space="preserve"> </w:t>
      </w:r>
      <w:r w:rsidR="005C2B25" w:rsidRPr="00EE1DBD">
        <w:rPr>
          <w:rFonts w:eastAsia="MS Mincho"/>
        </w:rPr>
        <w:t>can find</w:t>
      </w:r>
      <w:r w:rsidRPr="00EE1DBD">
        <w:rPr>
          <w:rFonts w:eastAsia="MS Mincho"/>
        </w:rPr>
        <w:t xml:space="preserve"> </w:t>
      </w:r>
      <w:r w:rsidR="005C2B25" w:rsidRPr="00EE1DBD">
        <w:rPr>
          <w:rFonts w:eastAsia="MS Mincho"/>
        </w:rPr>
        <w:t xml:space="preserve">clear </w:t>
      </w:r>
      <w:r w:rsidRPr="00EE1DBD">
        <w:rPr>
          <w:rFonts w:eastAsia="MS Mincho"/>
        </w:rPr>
        <w:t>trends in attitudes that reflect the impact of organizational and routine influence</w:t>
      </w:r>
      <w:r w:rsidR="005C2B25" w:rsidRPr="00EE1DBD">
        <w:rPr>
          <w:rFonts w:eastAsia="MS Mincho"/>
        </w:rPr>
        <w:t xml:space="preserve"> as a normalizing force (Shoemaker and Reese, 2014).</w:t>
      </w:r>
      <w:r w:rsidRPr="00EE1DBD">
        <w:rPr>
          <w:rFonts w:eastAsia="MS Mincho"/>
        </w:rPr>
        <w:t xml:space="preserve"> For example, a 2018 study described journalists</w:t>
      </w:r>
      <w:r w:rsidR="005C2B25" w:rsidRPr="00EE1DBD">
        <w:rPr>
          <w:rFonts w:eastAsia="MS Mincho"/>
        </w:rPr>
        <w:t>’</w:t>
      </w:r>
      <w:r w:rsidRPr="00EE1DBD">
        <w:rPr>
          <w:rFonts w:eastAsia="MS Mincho"/>
        </w:rPr>
        <w:t xml:space="preserve"> reaction</w:t>
      </w:r>
      <w:r w:rsidR="005C2B25" w:rsidRPr="00EE1DBD">
        <w:rPr>
          <w:rFonts w:eastAsia="MS Mincho"/>
        </w:rPr>
        <w:t>s</w:t>
      </w:r>
      <w:r w:rsidRPr="00EE1DBD">
        <w:rPr>
          <w:rFonts w:eastAsia="MS Mincho"/>
        </w:rPr>
        <w:t xml:space="preserve"> to AI or “robot journalism” </w:t>
      </w:r>
      <w:r w:rsidR="00277996" w:rsidRPr="00EE1DBD">
        <w:rPr>
          <w:rFonts w:eastAsia="MS Mincho"/>
        </w:rPr>
        <w:t>as generally</w:t>
      </w:r>
      <w:r w:rsidRPr="00EE1DBD">
        <w:rPr>
          <w:rFonts w:eastAsia="MS Mincho"/>
        </w:rPr>
        <w:t xml:space="preserve"> negative with an overarching concern for job security, and an argument that AI has inherent limitations that cannot compete directly with humans in the field (Kim </w:t>
      </w:r>
      <w:r w:rsidR="00CF169C" w:rsidRPr="00EE1DBD">
        <w:rPr>
          <w:rFonts w:eastAsia="MS Mincho"/>
        </w:rPr>
        <w:t>&amp; Kim).</w:t>
      </w:r>
      <w:r w:rsidR="005C2B25" w:rsidRPr="00EE1DBD">
        <w:rPr>
          <w:rFonts w:eastAsia="MS Mincho"/>
        </w:rPr>
        <w:t xml:space="preserve"> </w:t>
      </w:r>
      <w:r w:rsidR="00CF169C" w:rsidRPr="00EE1DBD">
        <w:rPr>
          <w:rFonts w:eastAsia="MS Mincho"/>
        </w:rPr>
        <w:t xml:space="preserve"> Len-R</w:t>
      </w:r>
      <w:r w:rsidR="00CF169C" w:rsidRPr="00EE1DBD">
        <w:t>í</w:t>
      </w:r>
      <w:r w:rsidR="00CF169C" w:rsidRPr="00EE1DBD">
        <w:rPr>
          <w:rFonts w:eastAsia="MS Mincho"/>
        </w:rPr>
        <w:t xml:space="preserve">os et. al. </w:t>
      </w:r>
      <w:r w:rsidR="00AF4C03">
        <w:rPr>
          <w:rFonts w:eastAsia="MS Mincho"/>
        </w:rPr>
        <w:t xml:space="preserve">(2009) </w:t>
      </w:r>
      <w:r w:rsidR="00CF169C" w:rsidRPr="00EE1DBD">
        <w:rPr>
          <w:rFonts w:eastAsia="MS Mincho"/>
        </w:rPr>
        <w:t xml:space="preserve">point to the idea that journalists may be important in various fields for the information they provide, but do not tend to set agendas, even in fields </w:t>
      </w:r>
      <w:r w:rsidR="00CF169C" w:rsidRPr="00EE1DBD">
        <w:rPr>
          <w:rFonts w:eastAsia="MS Mincho"/>
        </w:rPr>
        <w:lastRenderedPageBreak/>
        <w:t xml:space="preserve">where their reporting and other work is integral to the functioning of the subject’s program or enterprise. This has obvious implications for media </w:t>
      </w:r>
      <w:r w:rsidR="00277996" w:rsidRPr="00EE1DBD">
        <w:rPr>
          <w:rFonts w:eastAsia="MS Mincho"/>
        </w:rPr>
        <w:t>literacy because</w:t>
      </w:r>
      <w:r w:rsidR="00CF169C" w:rsidRPr="00EE1DBD">
        <w:rPr>
          <w:rFonts w:eastAsia="MS Mincho"/>
        </w:rPr>
        <w:t xml:space="preserve"> journalists provide both the content</w:t>
      </w:r>
      <w:r w:rsidR="00AF4C03">
        <w:rPr>
          <w:rFonts w:eastAsia="MS Mincho"/>
        </w:rPr>
        <w:t xml:space="preserve"> </w:t>
      </w:r>
      <w:r w:rsidR="00CF169C" w:rsidRPr="00EE1DBD">
        <w:rPr>
          <w:rFonts w:eastAsia="MS Mincho"/>
        </w:rPr>
        <w:t>and the context for evaluating that content, either through subsequent reporting, or from an organizational level</w:t>
      </w:r>
      <w:r w:rsidR="00277996" w:rsidRPr="00EE1DBD">
        <w:rPr>
          <w:rFonts w:eastAsia="MS Mincho"/>
        </w:rPr>
        <w:t xml:space="preserve">. </w:t>
      </w:r>
      <w:r w:rsidR="005C2B25" w:rsidRPr="00EE1DBD">
        <w:rPr>
          <w:rFonts w:eastAsia="MS Mincho"/>
        </w:rPr>
        <w:t xml:space="preserve">To this end, </w:t>
      </w:r>
      <w:proofErr w:type="spellStart"/>
      <w:r w:rsidR="005C2B25" w:rsidRPr="00EE1DBD">
        <w:rPr>
          <w:rFonts w:eastAsia="MS Mincho"/>
        </w:rPr>
        <w:t>Jaakkola</w:t>
      </w:r>
      <w:proofErr w:type="spellEnd"/>
      <w:r w:rsidR="00AF4C03">
        <w:rPr>
          <w:rFonts w:eastAsia="MS Mincho"/>
        </w:rPr>
        <w:t xml:space="preserve"> (2020)</w:t>
      </w:r>
      <w:r w:rsidR="005C2B25" w:rsidRPr="00EE1DBD">
        <w:rPr>
          <w:rFonts w:eastAsia="MS Mincho"/>
        </w:rPr>
        <w:t xml:space="preserve"> discusses the “boundary work” Finish journalists engage in as it relates to media literacy efforts. The author suggests that media education ought to be considered part of the routine practices of </w:t>
      </w:r>
      <w:r w:rsidR="00AF4C03">
        <w:rPr>
          <w:rFonts w:eastAsia="MS Mincho"/>
        </w:rPr>
        <w:t>journalism</w:t>
      </w:r>
      <w:r w:rsidR="005C2B25" w:rsidRPr="00EE1DBD">
        <w:rPr>
          <w:rFonts w:eastAsia="MS Mincho"/>
        </w:rPr>
        <w:t>, at least within Finland’s national context (</w:t>
      </w:r>
      <w:proofErr w:type="spellStart"/>
      <w:r w:rsidR="005C2B25" w:rsidRPr="00EE1DBD">
        <w:rPr>
          <w:rFonts w:eastAsia="MS Mincho"/>
        </w:rPr>
        <w:t>Jaakkola</w:t>
      </w:r>
      <w:proofErr w:type="spellEnd"/>
      <w:r w:rsidR="005C2B25" w:rsidRPr="00EE1DBD">
        <w:rPr>
          <w:rFonts w:eastAsia="MS Mincho"/>
        </w:rPr>
        <w:t xml:space="preserve">, 2020). In the United States, </w:t>
      </w:r>
      <w:r w:rsidR="003D01CF" w:rsidRPr="00EE1DBD">
        <w:rPr>
          <w:rFonts w:eastAsia="MS Mincho"/>
        </w:rPr>
        <w:t>critical</w:t>
      </w:r>
      <w:r w:rsidR="005C2B25" w:rsidRPr="00EE1DBD">
        <w:rPr>
          <w:rFonts w:eastAsia="MS Mincho"/>
        </w:rPr>
        <w:t xml:space="preserve"> media literacy </w:t>
      </w:r>
      <w:r w:rsidR="003D01CF" w:rsidRPr="00EE1DBD">
        <w:rPr>
          <w:rFonts w:eastAsia="MS Mincho"/>
        </w:rPr>
        <w:t>is already a part of teacher education and various programs throughout the country, and in various schools of journalism</w:t>
      </w:r>
      <w:r w:rsidR="005C2B25" w:rsidRPr="00EE1DBD">
        <w:rPr>
          <w:rFonts w:eastAsia="MS Mincho"/>
        </w:rPr>
        <w:t xml:space="preserve"> (Clark, 2013; </w:t>
      </w:r>
      <w:r w:rsidR="00A9483C" w:rsidRPr="00EE1DBD">
        <w:rPr>
          <w:rFonts w:eastAsia="MS Mincho"/>
        </w:rPr>
        <w:t>Kellner and Share, 2007)</w:t>
      </w:r>
      <w:r w:rsidR="003D01CF" w:rsidRPr="00EE1DBD">
        <w:rPr>
          <w:rFonts w:eastAsia="MS Mincho"/>
        </w:rPr>
        <w:t xml:space="preserve">. </w:t>
      </w:r>
    </w:p>
    <w:p w14:paraId="5C18216A" w14:textId="6A23E2C0" w:rsidR="008F19AE" w:rsidRPr="003A0FB1" w:rsidRDefault="003F5CE8" w:rsidP="003A0FB1">
      <w:pPr>
        <w:spacing w:line="480" w:lineRule="auto"/>
        <w:ind w:firstLine="720"/>
        <w:rPr>
          <w:rFonts w:eastAsia="MS Mincho"/>
        </w:rPr>
      </w:pPr>
      <w:r w:rsidRPr="00EE1DBD">
        <w:rPr>
          <w:rFonts w:eastAsia="MS Mincho"/>
        </w:rPr>
        <w:t xml:space="preserve">Given these studies, it makes sense to take the next step and </w:t>
      </w:r>
      <w:r w:rsidR="00AF4C03" w:rsidRPr="00EE1DBD">
        <w:rPr>
          <w:rFonts w:eastAsia="MS Mincho"/>
        </w:rPr>
        <w:t>look</w:t>
      </w:r>
      <w:r w:rsidRPr="00EE1DBD">
        <w:rPr>
          <w:rFonts w:eastAsia="MS Mincho"/>
        </w:rPr>
        <w:t xml:space="preserve"> at what themes emerge as we assess the professional literature, and to see </w:t>
      </w:r>
      <w:r w:rsidR="003D01CF" w:rsidRPr="00EE1DBD">
        <w:rPr>
          <w:rFonts w:eastAsia="MS Mincho"/>
        </w:rPr>
        <w:t xml:space="preserve">if we can locate common </w:t>
      </w:r>
      <w:r w:rsidR="00AF4C03">
        <w:rPr>
          <w:rFonts w:eastAsia="MS Mincho"/>
        </w:rPr>
        <w:t>trends</w:t>
      </w:r>
      <w:r w:rsidRPr="00EE1DBD">
        <w:rPr>
          <w:rFonts w:eastAsia="MS Mincho"/>
        </w:rPr>
        <w:t xml:space="preserve"> </w:t>
      </w:r>
      <w:proofErr w:type="gramStart"/>
      <w:r w:rsidRPr="00EE1DBD">
        <w:rPr>
          <w:rFonts w:eastAsia="MS Mincho"/>
        </w:rPr>
        <w:t>with regard to</w:t>
      </w:r>
      <w:proofErr w:type="gramEnd"/>
      <w:r w:rsidRPr="00EE1DBD">
        <w:rPr>
          <w:rFonts w:eastAsia="MS Mincho"/>
        </w:rPr>
        <w:t xml:space="preserve"> how journalists rate the effectiveness and relevance of media literacy. Further, if we map responses to the </w:t>
      </w:r>
      <w:proofErr w:type="spellStart"/>
      <w:r w:rsidR="00B249E3" w:rsidRPr="00EE1DBD">
        <w:rPr>
          <w:rFonts w:eastAsia="MS Mincho"/>
        </w:rPr>
        <w:t>HoI</w:t>
      </w:r>
      <w:proofErr w:type="spellEnd"/>
      <w:r w:rsidRPr="00EE1DBD">
        <w:rPr>
          <w:rFonts w:eastAsia="MS Mincho"/>
        </w:rPr>
        <w:t xml:space="preserve"> model, we can get an idea of how journalists assess the interactions of various institutions, organizational pressures, routines</w:t>
      </w:r>
      <w:r w:rsidR="00AF4C03">
        <w:rPr>
          <w:rFonts w:eastAsia="MS Mincho"/>
        </w:rPr>
        <w:t>,</w:t>
      </w:r>
      <w:r w:rsidRPr="00EE1DBD">
        <w:rPr>
          <w:rFonts w:eastAsia="MS Mincho"/>
        </w:rPr>
        <w:t xml:space="preserve"> and social systems</w:t>
      </w:r>
      <w:r w:rsidR="00896B42" w:rsidRPr="00EE1DBD">
        <w:rPr>
          <w:rFonts w:eastAsia="MS Mincho"/>
        </w:rPr>
        <w:t xml:space="preserve"> as they relate to media literacy and its interaction with media ecology in general, we can get a sense of criticism</w:t>
      </w:r>
      <w:r w:rsidR="00AF4C03">
        <w:rPr>
          <w:rFonts w:eastAsia="MS Mincho"/>
        </w:rPr>
        <w:t xml:space="preserve">, </w:t>
      </w:r>
      <w:r w:rsidR="00896B42" w:rsidRPr="00EE1DBD">
        <w:rPr>
          <w:rFonts w:eastAsia="MS Mincho"/>
        </w:rPr>
        <w:t xml:space="preserve">general </w:t>
      </w:r>
      <w:r w:rsidR="00FF3EEC" w:rsidRPr="00EE1DBD">
        <w:rPr>
          <w:rFonts w:eastAsia="MS Mincho"/>
        </w:rPr>
        <w:t>attitud</w:t>
      </w:r>
      <w:r w:rsidR="00AF4C03">
        <w:rPr>
          <w:rFonts w:eastAsia="MS Mincho"/>
        </w:rPr>
        <w:t>e,</w:t>
      </w:r>
      <w:r w:rsidR="00FF3EEC" w:rsidRPr="00EE1DBD">
        <w:rPr>
          <w:rFonts w:eastAsia="MS Mincho"/>
        </w:rPr>
        <w:t xml:space="preserve"> and</w:t>
      </w:r>
      <w:r w:rsidR="00896B42" w:rsidRPr="00EE1DBD">
        <w:rPr>
          <w:rFonts w:eastAsia="MS Mincho"/>
        </w:rPr>
        <w:t xml:space="preserve"> </w:t>
      </w:r>
      <w:r w:rsidR="00AF4C03">
        <w:rPr>
          <w:rFonts w:eastAsia="MS Mincho"/>
        </w:rPr>
        <w:t>locate</w:t>
      </w:r>
      <w:r w:rsidR="00896B42" w:rsidRPr="00EE1DBD">
        <w:rPr>
          <w:rFonts w:eastAsia="MS Mincho"/>
        </w:rPr>
        <w:t xml:space="preserve"> opportunities to improve media literacy programs and pedagogy.</w:t>
      </w:r>
      <w:r w:rsidR="00882F1D" w:rsidRPr="00EE1DBD">
        <w:rPr>
          <w:rFonts w:eastAsia="MS Mincho"/>
        </w:rPr>
        <w:t xml:space="preserve"> This pilot study will examine the following questions </w:t>
      </w:r>
      <w:proofErr w:type="gramStart"/>
      <w:r w:rsidR="00882F1D" w:rsidRPr="00EE1DBD">
        <w:rPr>
          <w:rFonts w:eastAsia="MS Mincho"/>
        </w:rPr>
        <w:t>in an effort to</w:t>
      </w:r>
      <w:proofErr w:type="gramEnd"/>
      <w:r w:rsidR="00882F1D" w:rsidRPr="00EE1DBD">
        <w:rPr>
          <w:rFonts w:eastAsia="MS Mincho"/>
        </w:rPr>
        <w:t xml:space="preserve"> </w:t>
      </w:r>
      <w:r w:rsidR="004A42EF">
        <w:rPr>
          <w:rFonts w:eastAsia="MS Mincho"/>
        </w:rPr>
        <w:t>create</w:t>
      </w:r>
      <w:r w:rsidR="00882F1D" w:rsidRPr="00EE1DBD">
        <w:rPr>
          <w:rFonts w:eastAsia="MS Mincho"/>
        </w:rPr>
        <w:t xml:space="preserve"> a codebook and relative structure for a broader future study.</w:t>
      </w:r>
    </w:p>
    <w:p w14:paraId="332CB36F" w14:textId="23AD2C3C" w:rsidR="008F19AE" w:rsidRPr="00EE1DBD" w:rsidRDefault="008F19AE" w:rsidP="003A0FB1">
      <w:pPr>
        <w:spacing w:line="480" w:lineRule="auto"/>
      </w:pPr>
      <w:bookmarkStart w:id="0" w:name="OLE_LINK1"/>
      <w:bookmarkStart w:id="1" w:name="OLE_LINK2"/>
      <w:r w:rsidRPr="00EE1DBD">
        <w:t>RQ1: What themes emerge when journalists discuss media literacy in trade/professional literature?</w:t>
      </w:r>
    </w:p>
    <w:p w14:paraId="03598F64" w14:textId="3CF87DE4" w:rsidR="008F19AE" w:rsidRPr="00EE1DBD" w:rsidRDefault="008F19AE" w:rsidP="003A0FB1">
      <w:pPr>
        <w:spacing w:line="480" w:lineRule="auto"/>
      </w:pPr>
      <w:r w:rsidRPr="00EE1DBD">
        <w:t>RQ</w:t>
      </w:r>
      <w:r w:rsidR="00681BA7" w:rsidRPr="00EE1DBD">
        <w:t>2</w:t>
      </w:r>
      <w:r w:rsidRPr="00EE1DBD">
        <w:t>: Do journalists’ mentions of media literacy occur in positive, negative, or neutral context?</w:t>
      </w:r>
    </w:p>
    <w:p w14:paraId="730ACC19" w14:textId="0943B917" w:rsidR="00A06BE4" w:rsidRPr="00EE1DBD" w:rsidRDefault="00681BA7" w:rsidP="003A0FB1">
      <w:pPr>
        <w:spacing w:line="480" w:lineRule="auto"/>
      </w:pPr>
      <w:r w:rsidRPr="00EE1DBD">
        <w:t xml:space="preserve">RQ3: How do comments correspond to </w:t>
      </w:r>
      <w:r w:rsidR="000A1DC6" w:rsidRPr="00EE1DBD">
        <w:t>Shoemaker and Reese’s hierarchy of influences model?</w:t>
      </w:r>
      <w:bookmarkEnd w:id="0"/>
      <w:bookmarkEnd w:id="1"/>
    </w:p>
    <w:p w14:paraId="1BBCC6AE" w14:textId="77777777" w:rsidR="004A42EF" w:rsidRDefault="004A42EF" w:rsidP="003A0FB1">
      <w:pPr>
        <w:spacing w:line="480" w:lineRule="auto"/>
        <w:jc w:val="center"/>
        <w:rPr>
          <w:b/>
          <w:bCs/>
        </w:rPr>
      </w:pPr>
    </w:p>
    <w:p w14:paraId="50E0B249" w14:textId="7DBECC9E" w:rsidR="0062065D" w:rsidRPr="003A0FB1" w:rsidRDefault="00BC23FB" w:rsidP="003A0FB1">
      <w:pPr>
        <w:spacing w:line="480" w:lineRule="auto"/>
        <w:jc w:val="center"/>
        <w:rPr>
          <w:b/>
          <w:bCs/>
        </w:rPr>
      </w:pPr>
      <w:r w:rsidRPr="00EE1DBD">
        <w:rPr>
          <w:b/>
          <w:bCs/>
        </w:rPr>
        <w:lastRenderedPageBreak/>
        <w:t>Method</w:t>
      </w:r>
    </w:p>
    <w:p w14:paraId="66B64300" w14:textId="782517DF" w:rsidR="00F307F7" w:rsidRPr="00EE1DBD" w:rsidRDefault="00FF3EEC" w:rsidP="003A0FB1">
      <w:pPr>
        <w:spacing w:line="480" w:lineRule="auto"/>
        <w:ind w:firstLine="720"/>
        <w:rPr>
          <w:rFonts w:eastAsia="MS Mincho"/>
        </w:rPr>
      </w:pPr>
      <w:r w:rsidRPr="00EE1DBD">
        <w:rPr>
          <w:rFonts w:eastAsia="MS Mincho"/>
        </w:rPr>
        <w:t>This pilot study uses grounded theory to create a codebook for interpreting larger data sets for future study.</w:t>
      </w:r>
      <w:r w:rsidR="00C301DF" w:rsidRPr="00EE1DBD">
        <w:rPr>
          <w:rFonts w:eastAsia="MS Mincho"/>
        </w:rPr>
        <w:t xml:space="preserve"> </w:t>
      </w:r>
      <w:r w:rsidR="00EE0A69" w:rsidRPr="00EE1DBD">
        <w:rPr>
          <w:rFonts w:eastAsia="MS Mincho"/>
        </w:rPr>
        <w:t>I</w:t>
      </w:r>
      <w:r w:rsidR="00C301DF" w:rsidRPr="00EE1DBD">
        <w:rPr>
          <w:rFonts w:eastAsia="MS Mincho"/>
        </w:rPr>
        <w:t xml:space="preserve"> employ the cycle of collecting, analyzing, and reinterpreting data described by Corbin and Strauss</w:t>
      </w:r>
      <w:r w:rsidR="004A42EF">
        <w:rPr>
          <w:rFonts w:eastAsia="MS Mincho"/>
        </w:rPr>
        <w:t xml:space="preserve"> (2015)</w:t>
      </w:r>
      <w:r w:rsidR="00C301DF" w:rsidRPr="00EE1DBD">
        <w:rPr>
          <w:rFonts w:eastAsia="MS Mincho"/>
        </w:rPr>
        <w:t xml:space="preserve">, in which the continual reinterpretation and flexibility of data </w:t>
      </w:r>
      <w:r w:rsidR="00EE0A69" w:rsidRPr="00EE1DBD">
        <w:rPr>
          <w:rFonts w:eastAsia="MS Mincho"/>
        </w:rPr>
        <w:t>contextualization</w:t>
      </w:r>
      <w:r w:rsidR="00C301DF" w:rsidRPr="00EE1DBD">
        <w:rPr>
          <w:rFonts w:eastAsia="MS Mincho"/>
        </w:rPr>
        <w:t xml:space="preserve"> makes possible nuanced conclusions, and relevance beyond this pilot study and future related studies</w:t>
      </w:r>
      <w:r w:rsidR="00EE0A69" w:rsidRPr="00EE1DBD">
        <w:rPr>
          <w:rFonts w:eastAsia="MS Mincho"/>
        </w:rPr>
        <w:t xml:space="preserve">. </w:t>
      </w:r>
      <w:r w:rsidR="004A42EF" w:rsidRPr="00EE1DBD">
        <w:rPr>
          <w:rFonts w:eastAsia="MS Mincho"/>
        </w:rPr>
        <w:t>These</w:t>
      </w:r>
      <w:r w:rsidR="00EE0A69" w:rsidRPr="00EE1DBD">
        <w:rPr>
          <w:rFonts w:eastAsia="MS Mincho"/>
        </w:rPr>
        <w:t xml:space="preserve"> results </w:t>
      </w:r>
      <w:r w:rsidR="004A42EF">
        <w:rPr>
          <w:rFonts w:eastAsia="MS Mincho"/>
        </w:rPr>
        <w:t>ought to eventually</w:t>
      </w:r>
      <w:r w:rsidR="00EE0A69" w:rsidRPr="00EE1DBD">
        <w:rPr>
          <w:rFonts w:eastAsia="MS Mincho"/>
        </w:rPr>
        <w:t xml:space="preserve"> be of use </w:t>
      </w:r>
      <w:r w:rsidR="00C301DF" w:rsidRPr="00EE1DBD">
        <w:rPr>
          <w:rFonts w:eastAsia="MS Mincho"/>
        </w:rPr>
        <w:t xml:space="preserve">to the populations from whose professional literature </w:t>
      </w:r>
      <w:r w:rsidR="00EE0A69" w:rsidRPr="00EE1DBD">
        <w:rPr>
          <w:rFonts w:eastAsia="MS Mincho"/>
        </w:rPr>
        <w:t>I</w:t>
      </w:r>
      <w:r w:rsidR="00C301DF" w:rsidRPr="00EE1DBD">
        <w:rPr>
          <w:rFonts w:eastAsia="MS Mincho"/>
        </w:rPr>
        <w:t xml:space="preserve"> gleaned these data. </w:t>
      </w:r>
      <w:r w:rsidR="00F307F7" w:rsidRPr="00EE1DBD">
        <w:rPr>
          <w:rFonts w:eastAsia="MS Mincho"/>
        </w:rPr>
        <w:t>First, I searched journalist responses</w:t>
      </w:r>
      <w:r w:rsidR="0062065D" w:rsidRPr="00EE1DBD">
        <w:rPr>
          <w:rFonts w:eastAsia="MS Mincho"/>
        </w:rPr>
        <w:t xml:space="preserve"> gathered from</w:t>
      </w:r>
      <w:r w:rsidR="00F307F7" w:rsidRPr="00EE1DBD">
        <w:rPr>
          <w:rFonts w:eastAsia="MS Mincho"/>
        </w:rPr>
        <w:t xml:space="preserve"> professional and trade publications collected in</w:t>
      </w:r>
      <w:r w:rsidR="0062065D" w:rsidRPr="00EE1DBD">
        <w:rPr>
          <w:rFonts w:eastAsia="MS Mincho"/>
        </w:rPr>
        <w:t xml:space="preserve"> the Discourses on Journalism (</w:t>
      </w:r>
      <w:proofErr w:type="spellStart"/>
      <w:r w:rsidR="0062065D" w:rsidRPr="00EE1DBD">
        <w:rPr>
          <w:rFonts w:eastAsia="MS Mincho"/>
        </w:rPr>
        <w:t>DoJo</w:t>
      </w:r>
      <w:proofErr w:type="spellEnd"/>
      <w:r w:rsidR="0062065D" w:rsidRPr="00EE1DBD">
        <w:rPr>
          <w:rFonts w:eastAsia="MS Mincho"/>
        </w:rPr>
        <w:t>) database</w:t>
      </w:r>
      <w:r w:rsidR="00F307F7" w:rsidRPr="00EE1DBD">
        <w:rPr>
          <w:rFonts w:eastAsia="MS Mincho"/>
        </w:rPr>
        <w:t xml:space="preserve"> for the term “media literacy.” </w:t>
      </w:r>
      <w:proofErr w:type="spellStart"/>
      <w:r w:rsidR="00F307F7" w:rsidRPr="00EE1DBD">
        <w:rPr>
          <w:rFonts w:eastAsia="MS Mincho"/>
        </w:rPr>
        <w:t>DoJo</w:t>
      </w:r>
      <w:proofErr w:type="spellEnd"/>
      <w:r w:rsidR="00F307F7" w:rsidRPr="00EE1DBD">
        <w:rPr>
          <w:rFonts w:eastAsia="MS Mincho"/>
        </w:rPr>
        <w:t xml:space="preserve"> is a tool created with funding from Reynolds Journalism Institute at the Missouri School of Journalism and from the Association for Education in Journalism and Mass Communication. This database indexes professional and trade publications from 25 publishers and 25,630 authors, accounting for 253,883 articles (as of April 18, 2021). The </w:t>
      </w:r>
      <w:r w:rsidR="004A42EF">
        <w:rPr>
          <w:rFonts w:eastAsia="MS Mincho"/>
        </w:rPr>
        <w:t xml:space="preserve">initial </w:t>
      </w:r>
      <w:r w:rsidR="00F307F7" w:rsidRPr="00EE1DBD">
        <w:rPr>
          <w:rFonts w:eastAsia="MS Mincho"/>
        </w:rPr>
        <w:t xml:space="preserve">search </w:t>
      </w:r>
      <w:r w:rsidR="004A42EF">
        <w:rPr>
          <w:rFonts w:eastAsia="MS Mincho"/>
        </w:rPr>
        <w:t>returned</w:t>
      </w:r>
      <w:r w:rsidR="00F307F7" w:rsidRPr="00EE1DBD">
        <w:rPr>
          <w:rFonts w:eastAsia="MS Mincho"/>
        </w:rPr>
        <w:t xml:space="preserve"> 502 results. There are certainly other </w:t>
      </w:r>
      <w:r w:rsidR="00C301DF" w:rsidRPr="00EE1DBD">
        <w:rPr>
          <w:rFonts w:eastAsia="MS Mincho"/>
        </w:rPr>
        <w:t xml:space="preserve">potential </w:t>
      </w:r>
      <w:r w:rsidR="00F307F7" w:rsidRPr="00EE1DBD">
        <w:rPr>
          <w:rFonts w:eastAsia="MS Mincho"/>
        </w:rPr>
        <w:t>search terms</w:t>
      </w:r>
      <w:r w:rsidR="00C301DF" w:rsidRPr="00EE1DBD">
        <w:rPr>
          <w:rFonts w:eastAsia="MS Mincho"/>
        </w:rPr>
        <w:t xml:space="preserve"> that might be used</w:t>
      </w:r>
      <w:r w:rsidR="00F307F7" w:rsidRPr="00EE1DBD">
        <w:rPr>
          <w:rFonts w:eastAsia="MS Mincho"/>
        </w:rPr>
        <w:t xml:space="preserve"> (</w:t>
      </w:r>
      <w:proofErr w:type="gramStart"/>
      <w:r w:rsidR="00F307F7" w:rsidRPr="00EE1DBD">
        <w:rPr>
          <w:rFonts w:eastAsia="MS Mincho"/>
        </w:rPr>
        <w:t>e.g.</w:t>
      </w:r>
      <w:proofErr w:type="gramEnd"/>
      <w:r w:rsidR="00F307F7" w:rsidRPr="00EE1DBD">
        <w:rPr>
          <w:rFonts w:eastAsia="MS Mincho"/>
        </w:rPr>
        <w:t xml:space="preserve"> news literacy, fake news, critical news consumption)</w:t>
      </w:r>
      <w:r w:rsidR="00C301DF" w:rsidRPr="00EE1DBD">
        <w:rPr>
          <w:rFonts w:eastAsia="MS Mincho"/>
        </w:rPr>
        <w:t xml:space="preserve">. These </w:t>
      </w:r>
      <w:r w:rsidR="00F307F7" w:rsidRPr="00EE1DBD">
        <w:rPr>
          <w:rFonts w:eastAsia="MS Mincho"/>
        </w:rPr>
        <w:t xml:space="preserve">might </w:t>
      </w:r>
      <w:r w:rsidR="004A42EF">
        <w:rPr>
          <w:rFonts w:eastAsia="MS Mincho"/>
        </w:rPr>
        <w:t xml:space="preserve">be </w:t>
      </w:r>
      <w:r w:rsidR="00C301DF" w:rsidRPr="00EE1DBD">
        <w:rPr>
          <w:rFonts w:eastAsia="MS Mincho"/>
        </w:rPr>
        <w:t xml:space="preserve">searched </w:t>
      </w:r>
      <w:r w:rsidR="00F307F7" w:rsidRPr="00EE1DBD">
        <w:rPr>
          <w:rFonts w:eastAsia="MS Mincho"/>
        </w:rPr>
        <w:t>tog</w:t>
      </w:r>
      <w:r w:rsidR="004A42EF">
        <w:rPr>
          <w:rFonts w:eastAsia="MS Mincho"/>
        </w:rPr>
        <w:t>e</w:t>
      </w:r>
      <w:r w:rsidR="00F307F7" w:rsidRPr="00EE1DBD">
        <w:rPr>
          <w:rFonts w:eastAsia="MS Mincho"/>
        </w:rPr>
        <w:t xml:space="preserve">ther </w:t>
      </w:r>
      <w:r w:rsidR="004A42EF">
        <w:rPr>
          <w:rFonts w:eastAsia="MS Mincho"/>
        </w:rPr>
        <w:t>for a more substantial</w:t>
      </w:r>
      <w:r w:rsidR="00F307F7" w:rsidRPr="00EE1DBD">
        <w:rPr>
          <w:rFonts w:eastAsia="MS Mincho"/>
        </w:rPr>
        <w:t xml:space="preserve"> data</w:t>
      </w:r>
      <w:r w:rsidR="004A42EF">
        <w:rPr>
          <w:rFonts w:eastAsia="MS Mincho"/>
        </w:rPr>
        <w:t>set</w:t>
      </w:r>
      <w:r w:rsidR="00C301DF" w:rsidRPr="00EE1DBD">
        <w:rPr>
          <w:rFonts w:eastAsia="MS Mincho"/>
        </w:rPr>
        <w:t xml:space="preserve"> in future </w:t>
      </w:r>
      <w:proofErr w:type="gramStart"/>
      <w:r w:rsidR="00C301DF" w:rsidRPr="00EE1DBD">
        <w:rPr>
          <w:rFonts w:eastAsia="MS Mincho"/>
        </w:rPr>
        <w:t>studies</w:t>
      </w:r>
      <w:r w:rsidR="004A42EF">
        <w:rPr>
          <w:rFonts w:eastAsia="MS Mincho"/>
        </w:rPr>
        <w:t>.</w:t>
      </w:r>
      <w:r w:rsidR="00F307F7" w:rsidRPr="00EE1DBD">
        <w:rPr>
          <w:rFonts w:eastAsia="MS Mincho"/>
        </w:rPr>
        <w:t>.</w:t>
      </w:r>
      <w:proofErr w:type="gramEnd"/>
      <w:r w:rsidR="00F307F7" w:rsidRPr="00EE1DBD">
        <w:rPr>
          <w:rFonts w:eastAsia="MS Mincho"/>
        </w:rPr>
        <w:t xml:space="preserve"> </w:t>
      </w:r>
    </w:p>
    <w:p w14:paraId="03F157C3" w14:textId="477B4E8B" w:rsidR="00AB085A" w:rsidRPr="00EE1DBD" w:rsidRDefault="00C301DF" w:rsidP="003A0FB1">
      <w:pPr>
        <w:spacing w:line="480" w:lineRule="auto"/>
        <w:ind w:firstLine="720"/>
        <w:rPr>
          <w:rFonts w:eastAsia="MS Mincho"/>
        </w:rPr>
      </w:pPr>
      <w:r w:rsidRPr="00EE1DBD">
        <w:rPr>
          <w:rFonts w:eastAsia="MS Mincho"/>
        </w:rPr>
        <w:t xml:space="preserve">For the purposes of establishing a codebook, </w:t>
      </w:r>
      <w:r w:rsidR="00AB085A" w:rsidRPr="00EE1DBD">
        <w:rPr>
          <w:rFonts w:eastAsia="MS Mincho"/>
        </w:rPr>
        <w:t xml:space="preserve">100 results were randomly selected from the initial 502 </w:t>
      </w:r>
      <w:r w:rsidR="00F307F7" w:rsidRPr="00EE1DBD">
        <w:rPr>
          <w:rFonts w:eastAsia="MS Mincho"/>
        </w:rPr>
        <w:t>results</w:t>
      </w:r>
      <w:r w:rsidR="00AB085A" w:rsidRPr="00EE1DBD">
        <w:rPr>
          <w:rFonts w:eastAsia="MS Mincho"/>
        </w:rPr>
        <w:t xml:space="preserve"> </w:t>
      </w:r>
      <w:r w:rsidR="00F307F7" w:rsidRPr="00EE1DBD">
        <w:rPr>
          <w:rFonts w:eastAsia="MS Mincho"/>
        </w:rPr>
        <w:t>using a random number generator from calculator.net. If a</w:t>
      </w:r>
      <w:r w:rsidR="00AB085A" w:rsidRPr="00EE1DBD">
        <w:rPr>
          <w:rFonts w:eastAsia="MS Mincho"/>
        </w:rPr>
        <w:t xml:space="preserve">n individual </w:t>
      </w:r>
      <w:r w:rsidR="00F307F7" w:rsidRPr="00EE1DBD">
        <w:rPr>
          <w:rFonts w:eastAsia="MS Mincho"/>
        </w:rPr>
        <w:t xml:space="preserve">random selection led to a dead link, or if a result was selected multiple times, a new number was randomly generated until 100 unique functional results were selected. </w:t>
      </w:r>
      <w:r w:rsidR="00AB085A" w:rsidRPr="00EE1DBD">
        <w:rPr>
          <w:rFonts w:eastAsia="MS Mincho"/>
        </w:rPr>
        <w:t xml:space="preserve">Then, the </w:t>
      </w:r>
      <w:proofErr w:type="spellStart"/>
      <w:r w:rsidR="00AB085A" w:rsidRPr="00EE1DBD">
        <w:rPr>
          <w:rFonts w:eastAsia="MS Mincho"/>
        </w:rPr>
        <w:t>urls</w:t>
      </w:r>
      <w:proofErr w:type="spellEnd"/>
      <w:r w:rsidR="00AB085A" w:rsidRPr="00EE1DBD">
        <w:rPr>
          <w:rFonts w:eastAsia="MS Mincho"/>
        </w:rPr>
        <w:t xml:space="preserve"> were culled from this list of articles, and </w:t>
      </w:r>
      <w:proofErr w:type="spellStart"/>
      <w:r w:rsidR="00AB085A" w:rsidRPr="00EE1DBD">
        <w:rPr>
          <w:rFonts w:eastAsia="MS Mincho"/>
        </w:rPr>
        <w:t>Ncapture</w:t>
      </w:r>
      <w:proofErr w:type="spellEnd"/>
      <w:r w:rsidR="00AB085A" w:rsidRPr="00EE1DBD">
        <w:rPr>
          <w:rFonts w:eastAsia="MS Mincho"/>
        </w:rPr>
        <w:t xml:space="preserve"> was used to pull the articles as pdfs</w:t>
      </w:r>
      <w:r w:rsidR="004A42EF">
        <w:rPr>
          <w:rFonts w:eastAsia="MS Mincho"/>
        </w:rPr>
        <w:t xml:space="preserve">. Then </w:t>
      </w:r>
      <w:r w:rsidR="00AB085A" w:rsidRPr="00EE1DBD">
        <w:rPr>
          <w:rFonts w:eastAsia="MS Mincho"/>
        </w:rPr>
        <w:t>they were fed into NVivo 12</w:t>
      </w:r>
      <w:r w:rsidR="004A42EF">
        <w:rPr>
          <w:rFonts w:eastAsia="MS Mincho"/>
        </w:rPr>
        <w:t>,</w:t>
      </w:r>
      <w:r w:rsidR="00AB085A" w:rsidRPr="00EE1DBD">
        <w:rPr>
          <w:rFonts w:eastAsia="MS Mincho"/>
        </w:rPr>
        <w:t xml:space="preserve"> where the articles were all searched for occurrences of the phrases “media literacy” again. This pulled individual sentences for coding that had the words “media literacy” in the sentence or phrase. Titles</w:t>
      </w:r>
      <w:r w:rsidR="004A42EF">
        <w:rPr>
          <w:rFonts w:eastAsia="MS Mincho"/>
        </w:rPr>
        <w:t xml:space="preserve"> and</w:t>
      </w:r>
      <w:r w:rsidR="00AB085A" w:rsidRPr="00EE1DBD">
        <w:rPr>
          <w:rFonts w:eastAsia="MS Mincho"/>
        </w:rPr>
        <w:t xml:space="preserve"> subtitles were excluded because they were not descriptive or </w:t>
      </w:r>
      <w:r w:rsidR="00AB085A" w:rsidRPr="00EE1DBD">
        <w:rPr>
          <w:rFonts w:eastAsia="MS Mincho"/>
        </w:rPr>
        <w:lastRenderedPageBreak/>
        <w:t xml:space="preserve">useful for coding, bylines were retained because they frequently included author credentials and program affiliations that the author presumably found worth mentioning and therefore valued. </w:t>
      </w:r>
    </w:p>
    <w:p w14:paraId="5E42609A" w14:textId="66F24234" w:rsidR="00EE0A69" w:rsidRPr="00EE1DBD" w:rsidRDefault="004A42EF" w:rsidP="003A0FB1">
      <w:pPr>
        <w:spacing w:line="480" w:lineRule="auto"/>
        <w:ind w:firstLine="720"/>
        <w:rPr>
          <w:rFonts w:eastAsia="MS Mincho"/>
        </w:rPr>
      </w:pPr>
      <w:r>
        <w:rPr>
          <w:rFonts w:eastAsia="MS Mincho"/>
        </w:rPr>
        <w:t>This set of</w:t>
      </w:r>
      <w:r w:rsidR="00AB085A" w:rsidRPr="00EE1DBD">
        <w:rPr>
          <w:rFonts w:eastAsia="MS Mincho"/>
        </w:rPr>
        <w:t xml:space="preserve"> sentences were put into a spreadsheet and coded for each of the three research questions for theme (RQ1), positive/negative/neutral </w:t>
      </w:r>
      <w:r w:rsidR="00EE0A69" w:rsidRPr="00EE1DBD">
        <w:rPr>
          <w:rFonts w:eastAsia="MS Mincho"/>
        </w:rPr>
        <w:t>attitude</w:t>
      </w:r>
      <w:r w:rsidR="00AB085A" w:rsidRPr="00EE1DBD">
        <w:rPr>
          <w:rFonts w:eastAsia="MS Mincho"/>
        </w:rPr>
        <w:t xml:space="preserve"> (RQ2), and relationship to the hierarchy of influences (RQ3). </w:t>
      </w:r>
      <w:r w:rsidR="00EE0A69" w:rsidRPr="00EE1DBD">
        <w:rPr>
          <w:rFonts w:eastAsia="MS Mincho"/>
        </w:rPr>
        <w:t xml:space="preserve">Themes </w:t>
      </w:r>
      <w:r>
        <w:rPr>
          <w:rFonts w:eastAsia="MS Mincho"/>
        </w:rPr>
        <w:t>were</w:t>
      </w:r>
      <w:r w:rsidR="00EE0A69" w:rsidRPr="00EE1DBD">
        <w:rPr>
          <w:rFonts w:eastAsia="MS Mincho"/>
        </w:rPr>
        <w:t xml:space="preserve"> selected based on emergent properties of the data, so if two or more sentences mention a theme, that theme </w:t>
      </w:r>
      <w:r>
        <w:rPr>
          <w:rFonts w:eastAsia="MS Mincho"/>
        </w:rPr>
        <w:t>was</w:t>
      </w:r>
      <w:r w:rsidR="00EE0A69" w:rsidRPr="00EE1DBD">
        <w:rPr>
          <w:rFonts w:eastAsia="MS Mincho"/>
        </w:rPr>
        <w:t xml:space="preserve"> listed.</w:t>
      </w:r>
      <w:r w:rsidR="00B249E3" w:rsidRPr="00EE1DBD">
        <w:rPr>
          <w:rFonts w:eastAsia="MS Mincho"/>
        </w:rPr>
        <w:t xml:space="preserve"> </w:t>
      </w:r>
      <w:r w:rsidR="00EE0A69" w:rsidRPr="00EE1DBD">
        <w:rPr>
          <w:rFonts w:eastAsia="MS Mincho"/>
        </w:rPr>
        <w:t xml:space="preserve">Subsequently related themes </w:t>
      </w:r>
      <w:r>
        <w:rPr>
          <w:rFonts w:eastAsia="MS Mincho"/>
        </w:rPr>
        <w:t>were</w:t>
      </w:r>
      <w:r w:rsidR="00EE0A69" w:rsidRPr="00EE1DBD">
        <w:rPr>
          <w:rFonts w:eastAsia="MS Mincho"/>
        </w:rPr>
        <w:t xml:space="preserve"> combined to reveal conceptual adjacencies. </w:t>
      </w:r>
      <w:r w:rsidR="00B249E3" w:rsidRPr="00EE1DBD">
        <w:rPr>
          <w:rFonts w:eastAsia="MS Mincho"/>
        </w:rPr>
        <w:t xml:space="preserve">One sentence </w:t>
      </w:r>
      <w:r>
        <w:rPr>
          <w:rFonts w:eastAsia="MS Mincho"/>
        </w:rPr>
        <w:t>could</w:t>
      </w:r>
      <w:r w:rsidR="00B249E3" w:rsidRPr="00EE1DBD">
        <w:rPr>
          <w:rFonts w:eastAsia="MS Mincho"/>
        </w:rPr>
        <w:t xml:space="preserve"> potentially be coded for multiple themes.  </w:t>
      </w:r>
      <w:r w:rsidRPr="00EE1DBD">
        <w:rPr>
          <w:rFonts w:eastAsia="MS Mincho"/>
        </w:rPr>
        <w:t>Positive</w:t>
      </w:r>
      <w:r w:rsidR="00EE0A69" w:rsidRPr="00EE1DBD">
        <w:rPr>
          <w:rFonts w:eastAsia="MS Mincho"/>
        </w:rPr>
        <w:t xml:space="preserve">/negative/neutral attitude of journalists toward media literacy </w:t>
      </w:r>
      <w:r>
        <w:rPr>
          <w:rFonts w:eastAsia="MS Mincho"/>
        </w:rPr>
        <w:t>was</w:t>
      </w:r>
      <w:r w:rsidR="00EE0A69" w:rsidRPr="00EE1DBD">
        <w:rPr>
          <w:rFonts w:eastAsia="MS Mincho"/>
        </w:rPr>
        <w:t xml:space="preserve"> assessed based on the language and subtext of each sentence</w:t>
      </w:r>
      <w:r>
        <w:rPr>
          <w:rFonts w:eastAsia="MS Mincho"/>
        </w:rPr>
        <w:t>.</w:t>
      </w:r>
      <w:r w:rsidR="00EE0A69" w:rsidRPr="00EE1DBD">
        <w:rPr>
          <w:rFonts w:eastAsia="MS Mincho"/>
        </w:rPr>
        <w:t xml:space="preserve"> </w:t>
      </w:r>
      <w:r>
        <w:rPr>
          <w:rFonts w:eastAsia="MS Mincho"/>
        </w:rPr>
        <w:t>I</w:t>
      </w:r>
      <w:r w:rsidR="00EE0A69" w:rsidRPr="00EE1DBD">
        <w:rPr>
          <w:rFonts w:eastAsia="MS Mincho"/>
        </w:rPr>
        <w:t xml:space="preserve">f no attitude </w:t>
      </w:r>
      <w:r>
        <w:rPr>
          <w:rFonts w:eastAsia="MS Mincho"/>
        </w:rPr>
        <w:t>(</w:t>
      </w:r>
      <w:r w:rsidR="00EE0A69" w:rsidRPr="00EE1DBD">
        <w:rPr>
          <w:rFonts w:eastAsia="MS Mincho"/>
        </w:rPr>
        <w:t>or an ambiguous attitude</w:t>
      </w:r>
      <w:r>
        <w:rPr>
          <w:rFonts w:eastAsia="MS Mincho"/>
        </w:rPr>
        <w:t>)</w:t>
      </w:r>
      <w:r w:rsidR="00EE0A69" w:rsidRPr="00EE1DBD">
        <w:rPr>
          <w:rFonts w:eastAsia="MS Mincho"/>
        </w:rPr>
        <w:t xml:space="preserve"> is </w:t>
      </w:r>
      <w:r w:rsidR="00254A80" w:rsidRPr="00EE1DBD">
        <w:rPr>
          <w:rFonts w:eastAsia="MS Mincho"/>
        </w:rPr>
        <w:t>discernable</w:t>
      </w:r>
      <w:r w:rsidR="00EE0A69" w:rsidRPr="00EE1DBD">
        <w:rPr>
          <w:rFonts w:eastAsia="MS Mincho"/>
        </w:rPr>
        <w:t xml:space="preserve">, the sentence </w:t>
      </w:r>
      <w:r>
        <w:rPr>
          <w:rFonts w:eastAsia="MS Mincho"/>
        </w:rPr>
        <w:t>was</w:t>
      </w:r>
      <w:r w:rsidR="00EE0A69" w:rsidRPr="00EE1DBD">
        <w:rPr>
          <w:rFonts w:eastAsia="MS Mincho"/>
        </w:rPr>
        <w:t xml:space="preserve"> code</w:t>
      </w:r>
      <w:r>
        <w:rPr>
          <w:rFonts w:eastAsia="MS Mincho"/>
        </w:rPr>
        <w:t>d</w:t>
      </w:r>
      <w:r w:rsidR="00EE0A69" w:rsidRPr="00EE1DBD">
        <w:rPr>
          <w:rFonts w:eastAsia="MS Mincho"/>
        </w:rPr>
        <w:t xml:space="preserve"> as neutral. </w:t>
      </w:r>
      <w:r w:rsidR="00B249E3" w:rsidRPr="00EE1DBD">
        <w:rPr>
          <w:rFonts w:eastAsia="MS Mincho"/>
        </w:rPr>
        <w:t xml:space="preserve">Each sentence </w:t>
      </w:r>
      <w:r>
        <w:rPr>
          <w:rFonts w:eastAsia="MS Mincho"/>
        </w:rPr>
        <w:t>was</w:t>
      </w:r>
      <w:r w:rsidR="00B249E3" w:rsidRPr="00EE1DBD">
        <w:rPr>
          <w:rFonts w:eastAsia="MS Mincho"/>
        </w:rPr>
        <w:t xml:space="preserve"> coded only once for RQ2. </w:t>
      </w:r>
      <w:r w:rsidR="00254A80" w:rsidRPr="00EE1DBD">
        <w:rPr>
          <w:rFonts w:eastAsia="MS Mincho"/>
        </w:rPr>
        <w:t xml:space="preserve">Finally, </w:t>
      </w:r>
      <w:r w:rsidR="00B249E3" w:rsidRPr="00EE1DBD">
        <w:rPr>
          <w:rFonts w:eastAsia="MS Mincho"/>
        </w:rPr>
        <w:t xml:space="preserve">each sentence </w:t>
      </w:r>
      <w:r>
        <w:rPr>
          <w:rFonts w:eastAsia="MS Mincho"/>
        </w:rPr>
        <w:t>was</w:t>
      </w:r>
      <w:r w:rsidR="00B249E3" w:rsidRPr="00EE1DBD">
        <w:rPr>
          <w:rFonts w:eastAsia="MS Mincho"/>
        </w:rPr>
        <w:t xml:space="preserve"> coded a third time for which levels of the hierarchy of influences model the sentence reflect</w:t>
      </w:r>
      <w:r>
        <w:rPr>
          <w:rFonts w:eastAsia="MS Mincho"/>
        </w:rPr>
        <w:t>ed</w:t>
      </w:r>
      <w:r w:rsidR="00B249E3" w:rsidRPr="00EE1DBD">
        <w:rPr>
          <w:rFonts w:eastAsia="MS Mincho"/>
        </w:rPr>
        <w:t xml:space="preserve">. This </w:t>
      </w:r>
      <w:r>
        <w:rPr>
          <w:rFonts w:eastAsia="MS Mincho"/>
        </w:rPr>
        <w:t>was</w:t>
      </w:r>
      <w:r w:rsidR="00B249E3" w:rsidRPr="00EE1DBD">
        <w:rPr>
          <w:rFonts w:eastAsia="MS Mincho"/>
        </w:rPr>
        <w:t xml:space="preserve"> a surface-level reading, since we should expect that elements of journalism are linked to multiple levels of the hierarchy, if not all levels (Shoemaker and Reese, 2014). That said, if a sentence mentions multiple levels explicitly (</w:t>
      </w:r>
      <w:proofErr w:type="gramStart"/>
      <w:r w:rsidR="00B249E3" w:rsidRPr="00EE1DBD">
        <w:rPr>
          <w:rFonts w:eastAsia="MS Mincho"/>
        </w:rPr>
        <w:t>e.g.</w:t>
      </w:r>
      <w:proofErr w:type="gramEnd"/>
      <w:r w:rsidR="00B249E3" w:rsidRPr="00EE1DBD">
        <w:rPr>
          <w:rFonts w:eastAsia="MS Mincho"/>
        </w:rPr>
        <w:t xml:space="preserve"> corporate media and individual journalists), it </w:t>
      </w:r>
      <w:r>
        <w:rPr>
          <w:rFonts w:eastAsia="MS Mincho"/>
        </w:rPr>
        <w:t>was</w:t>
      </w:r>
      <w:r w:rsidR="00B249E3" w:rsidRPr="00EE1DBD">
        <w:rPr>
          <w:rFonts w:eastAsia="MS Mincho"/>
        </w:rPr>
        <w:t xml:space="preserve"> coded for both</w:t>
      </w:r>
      <w:r>
        <w:rPr>
          <w:rFonts w:eastAsia="MS Mincho"/>
        </w:rPr>
        <w:t>.</w:t>
      </w:r>
      <w:r w:rsidR="00B249E3" w:rsidRPr="00EE1DBD">
        <w:rPr>
          <w:rFonts w:eastAsia="MS Mincho"/>
        </w:rPr>
        <w:t xml:space="preserve"> </w:t>
      </w:r>
      <w:r>
        <w:rPr>
          <w:rFonts w:eastAsia="MS Mincho"/>
        </w:rPr>
        <w:t xml:space="preserve"> A</w:t>
      </w:r>
      <w:r w:rsidR="00B249E3" w:rsidRPr="00EE1DBD">
        <w:rPr>
          <w:rFonts w:eastAsia="MS Mincho"/>
        </w:rPr>
        <w:t xml:space="preserve"> given sentence can be coded for multiple levels. This </w:t>
      </w:r>
      <w:r>
        <w:rPr>
          <w:rFonts w:eastAsia="MS Mincho"/>
        </w:rPr>
        <w:t>has</w:t>
      </w:r>
      <w:r w:rsidR="00B249E3" w:rsidRPr="00EE1DBD">
        <w:rPr>
          <w:rFonts w:eastAsia="MS Mincho"/>
        </w:rPr>
        <w:t xml:space="preserve"> the added benefit of giving us an idea of how media literacy is generally discussed within the context of the </w:t>
      </w:r>
      <w:proofErr w:type="spellStart"/>
      <w:r w:rsidR="00B249E3" w:rsidRPr="00EE1DBD">
        <w:rPr>
          <w:rFonts w:eastAsia="MS Mincho"/>
        </w:rPr>
        <w:t>HoI</w:t>
      </w:r>
      <w:proofErr w:type="spellEnd"/>
      <w:r w:rsidR="00B249E3" w:rsidRPr="00EE1DBD">
        <w:rPr>
          <w:rFonts w:eastAsia="MS Mincho"/>
        </w:rPr>
        <w:t xml:space="preserve"> model in professional literature.</w:t>
      </w:r>
      <w:r>
        <w:rPr>
          <w:rFonts w:eastAsia="MS Mincho"/>
        </w:rPr>
        <w:t xml:space="preserve"> The</w:t>
      </w:r>
      <w:r w:rsidR="00547A07" w:rsidRPr="00EE1DBD">
        <w:rPr>
          <w:rFonts w:eastAsia="MS Mincho"/>
        </w:rPr>
        <w:t xml:space="preserve"> overlap </w:t>
      </w:r>
      <w:r>
        <w:rPr>
          <w:rFonts w:eastAsia="MS Mincho"/>
        </w:rPr>
        <w:t xml:space="preserve">in coding </w:t>
      </w:r>
      <w:r w:rsidR="00547A07" w:rsidRPr="00EE1DBD">
        <w:rPr>
          <w:rFonts w:eastAsia="MS Mincho"/>
        </w:rPr>
        <w:t xml:space="preserve">will tell us something more about how media literacy interacts with </w:t>
      </w:r>
      <w:r>
        <w:rPr>
          <w:rFonts w:eastAsia="MS Mincho"/>
        </w:rPr>
        <w:t>different</w:t>
      </w:r>
      <w:r w:rsidR="00547A07" w:rsidRPr="00EE1DBD">
        <w:rPr>
          <w:rFonts w:eastAsia="MS Mincho"/>
        </w:rPr>
        <w:t xml:space="preserve"> levels of the hierarchy.</w:t>
      </w:r>
    </w:p>
    <w:p w14:paraId="405EBBD7" w14:textId="18015D63" w:rsidR="0062065D" w:rsidRPr="003A0FB1" w:rsidRDefault="00CC4510" w:rsidP="003A0FB1">
      <w:pPr>
        <w:spacing w:line="480" w:lineRule="auto"/>
        <w:ind w:firstLine="720"/>
        <w:rPr>
          <w:rFonts w:eastAsia="MS Mincho"/>
        </w:rPr>
      </w:pPr>
      <w:r w:rsidRPr="00EE1DBD">
        <w:rPr>
          <w:rFonts w:eastAsia="MS Mincho"/>
        </w:rPr>
        <w:t xml:space="preserve">The results of this coding </w:t>
      </w:r>
      <w:r w:rsidR="004A42EF">
        <w:rPr>
          <w:rFonts w:eastAsia="MS Mincho"/>
        </w:rPr>
        <w:t>were</w:t>
      </w:r>
      <w:r w:rsidRPr="00EE1DBD">
        <w:rPr>
          <w:rFonts w:eastAsia="MS Mincho"/>
        </w:rPr>
        <w:t xml:space="preserve"> parsed and used </w:t>
      </w:r>
      <w:r w:rsidR="00AB085A" w:rsidRPr="00EE1DBD">
        <w:rPr>
          <w:rFonts w:eastAsia="MS Mincho"/>
        </w:rPr>
        <w:t xml:space="preserve">to establish a codebook to categorize larger bodies of literature for textual </w:t>
      </w:r>
      <w:proofErr w:type="spellStart"/>
      <w:proofErr w:type="gramStart"/>
      <w:r w:rsidR="00AB085A" w:rsidRPr="00EE1DBD">
        <w:rPr>
          <w:rFonts w:eastAsia="MS Mincho"/>
        </w:rPr>
        <w:t>analysi</w:t>
      </w:r>
      <w:r w:rsidR="004A42EF">
        <w:rPr>
          <w:rFonts w:eastAsia="MS Mincho"/>
        </w:rPr>
        <w:t>,</w:t>
      </w:r>
      <w:r w:rsidR="00AB085A" w:rsidRPr="00EE1DBD">
        <w:rPr>
          <w:rFonts w:eastAsia="MS Mincho"/>
        </w:rPr>
        <w:t>s</w:t>
      </w:r>
      <w:proofErr w:type="spellEnd"/>
      <w:proofErr w:type="gramEnd"/>
      <w:r w:rsidR="00AB085A" w:rsidRPr="00EE1DBD">
        <w:rPr>
          <w:rFonts w:eastAsia="MS Mincho"/>
        </w:rPr>
        <w:t xml:space="preserve"> and to quantify general trends in journalist perceptions. These results </w:t>
      </w:r>
      <w:r w:rsidR="004A42EF">
        <w:rPr>
          <w:rFonts w:eastAsia="MS Mincho"/>
        </w:rPr>
        <w:t>can later be</w:t>
      </w:r>
      <w:r w:rsidR="00AB085A" w:rsidRPr="00EE1DBD">
        <w:rPr>
          <w:rFonts w:eastAsia="MS Mincho"/>
        </w:rPr>
        <w:t xml:space="preserve"> </w:t>
      </w:r>
      <w:proofErr w:type="spellStart"/>
      <w:r w:rsidR="00AB085A" w:rsidRPr="00EE1DBD">
        <w:rPr>
          <w:rFonts w:eastAsia="MS Mincho"/>
        </w:rPr>
        <w:t>be</w:t>
      </w:r>
      <w:proofErr w:type="spellEnd"/>
      <w:r w:rsidR="00AB085A" w:rsidRPr="00EE1DBD">
        <w:rPr>
          <w:rFonts w:eastAsia="MS Mincho"/>
        </w:rPr>
        <w:t xml:space="preserve"> tabulated and compared to establish general themes, attitudes, and relationships to media ecology.</w:t>
      </w:r>
      <w:r w:rsidR="004A42EF">
        <w:rPr>
          <w:rFonts w:eastAsia="MS Mincho"/>
        </w:rPr>
        <w:t xml:space="preserve"> Given this is a pilot </w:t>
      </w:r>
      <w:proofErr w:type="gramStart"/>
      <w:r w:rsidR="004A42EF">
        <w:rPr>
          <w:rFonts w:eastAsia="MS Mincho"/>
        </w:rPr>
        <w:t xml:space="preserve">study, </w:t>
      </w:r>
      <w:r w:rsidR="00AB085A" w:rsidRPr="00EE1DBD">
        <w:rPr>
          <w:rFonts w:eastAsia="MS Mincho"/>
        </w:rPr>
        <w:t xml:space="preserve"> I</w:t>
      </w:r>
      <w:proofErr w:type="gramEnd"/>
      <w:r w:rsidR="00AB085A" w:rsidRPr="00EE1DBD">
        <w:rPr>
          <w:rFonts w:eastAsia="MS Mincho"/>
        </w:rPr>
        <w:t xml:space="preserve"> will only establish </w:t>
      </w:r>
      <w:r w:rsidR="00AB085A" w:rsidRPr="00EE1DBD">
        <w:rPr>
          <w:rFonts w:eastAsia="MS Mincho"/>
        </w:rPr>
        <w:lastRenderedPageBreak/>
        <w:t xml:space="preserve">broad categories </w:t>
      </w:r>
      <w:r w:rsidRPr="00EE1DBD">
        <w:rPr>
          <w:rFonts w:eastAsia="MS Mincho"/>
        </w:rPr>
        <w:t xml:space="preserve">of themes </w:t>
      </w:r>
      <w:r w:rsidR="00AB085A" w:rsidRPr="00EE1DBD">
        <w:rPr>
          <w:rFonts w:eastAsia="MS Mincho"/>
        </w:rPr>
        <w:t xml:space="preserve">with obvious subcategories that emanate from the larger. In later studies, more discrete categories might be created, and more coders might be included to establish greater reliability of data analysis </w:t>
      </w:r>
      <w:r w:rsidR="00AB085A" w:rsidRPr="00EE1DBD">
        <w:t xml:space="preserve">(Church et al., 2019). </w:t>
      </w:r>
    </w:p>
    <w:p w14:paraId="709B45B6" w14:textId="24F3869C" w:rsidR="00E93F15" w:rsidRPr="003A0FB1" w:rsidRDefault="00BC23FB" w:rsidP="003A0FB1">
      <w:pPr>
        <w:spacing w:line="480" w:lineRule="auto"/>
        <w:jc w:val="center"/>
        <w:rPr>
          <w:b/>
          <w:bCs/>
        </w:rPr>
      </w:pPr>
      <w:r w:rsidRPr="00EE1DBD">
        <w:rPr>
          <w:b/>
          <w:bCs/>
        </w:rPr>
        <w:t>Result</w:t>
      </w:r>
      <w:r w:rsidR="006210AA" w:rsidRPr="00EE1DBD">
        <w:rPr>
          <w:b/>
          <w:bCs/>
        </w:rPr>
        <w:t>s</w:t>
      </w:r>
    </w:p>
    <w:p w14:paraId="76F09973" w14:textId="4CDA3FFF" w:rsidR="00E93F15" w:rsidRDefault="00E93F15" w:rsidP="003A0FB1">
      <w:pPr>
        <w:spacing w:line="480" w:lineRule="auto"/>
        <w:ind w:firstLine="720"/>
      </w:pPr>
      <w:r w:rsidRPr="00EE1DBD">
        <w:t>Of the 100 articles from the random sample, NVivo returned 3</w:t>
      </w:r>
      <w:r w:rsidR="004A42EF">
        <w:t>1</w:t>
      </w:r>
      <w:r w:rsidRPr="00EE1DBD">
        <w:t xml:space="preserve"> articles with the words “media literacy” </w:t>
      </w:r>
      <w:r w:rsidR="004A42EF">
        <w:t xml:space="preserve">somewhere in the text of the article. </w:t>
      </w:r>
      <w:r w:rsidRPr="00EE1DBD">
        <w:t xml:space="preserve">This </w:t>
      </w:r>
      <w:r w:rsidR="004A42EF">
        <w:t>excluded</w:t>
      </w:r>
      <w:r w:rsidRPr="00EE1DBD">
        <w:t xml:space="preserve"> misspellings, and related results (</w:t>
      </w:r>
      <w:proofErr w:type="gramStart"/>
      <w:r w:rsidRPr="00EE1DBD">
        <w:t>e.g.</w:t>
      </w:r>
      <w:proofErr w:type="gramEnd"/>
      <w:r w:rsidRPr="00EE1DBD">
        <w:t xml:space="preserve"> media literate, media lit, </w:t>
      </w:r>
      <w:proofErr w:type="spellStart"/>
      <w:r w:rsidRPr="00EE1DBD">
        <w:t>etc</w:t>
      </w:r>
      <w:proofErr w:type="spellEnd"/>
      <w:r w:rsidRPr="00EE1DBD">
        <w:t>).</w:t>
      </w:r>
      <w:r w:rsidR="009C5BB4" w:rsidRPr="00EE1DBD">
        <w:t xml:space="preserve"> From the </w:t>
      </w:r>
      <w:r w:rsidR="004A42EF">
        <w:t>31</w:t>
      </w:r>
      <w:r w:rsidR="009C5BB4" w:rsidRPr="00EE1DBD">
        <w:t xml:space="preserve"> articles, 7</w:t>
      </w:r>
      <w:r w:rsidR="00033337" w:rsidRPr="00EE1DBD">
        <w:t>8</w:t>
      </w:r>
      <w:r w:rsidR="009C5BB4" w:rsidRPr="00EE1DBD">
        <w:t xml:space="preserve"> unique mentions of “media literacy” were returned. Of these, one article had 37 mentions because media literacy was also the name of a program being discussed</w:t>
      </w:r>
      <w:r w:rsidR="000070A7" w:rsidRPr="00EE1DBD">
        <w:t xml:space="preserve"> (Media Literacy Now)</w:t>
      </w:r>
      <w:r w:rsidR="009C5BB4" w:rsidRPr="00EE1DBD">
        <w:t xml:space="preserve">. </w:t>
      </w:r>
      <w:r w:rsidR="000070A7" w:rsidRPr="00EE1DBD">
        <w:t xml:space="preserve"> Each research question (RQ) will now be parsed individually:</w:t>
      </w:r>
    </w:p>
    <w:p w14:paraId="053D6319" w14:textId="77777777" w:rsidR="003A0FB1" w:rsidRPr="00EE1DBD" w:rsidRDefault="003A0FB1" w:rsidP="003A0FB1">
      <w:pPr>
        <w:spacing w:line="480" w:lineRule="auto"/>
        <w:ind w:firstLine="720"/>
      </w:pPr>
    </w:p>
    <w:p w14:paraId="4361DD43" w14:textId="24B147DC" w:rsidR="006210AA" w:rsidRPr="003A0FB1" w:rsidRDefault="006A6EEB" w:rsidP="003A0FB1">
      <w:pPr>
        <w:spacing w:line="480" w:lineRule="auto"/>
        <w:rPr>
          <w:b/>
          <w:bCs/>
        </w:rPr>
      </w:pPr>
      <w:r>
        <w:rPr>
          <w:b/>
          <w:bCs/>
        </w:rPr>
        <w:t>RQ</w:t>
      </w:r>
      <w:r w:rsidR="00A90C1D">
        <w:rPr>
          <w:b/>
          <w:bCs/>
        </w:rPr>
        <w:t xml:space="preserve"> </w:t>
      </w:r>
      <w:r w:rsidR="00E93F15" w:rsidRPr="00EE1DBD">
        <w:rPr>
          <w:b/>
          <w:bCs/>
        </w:rPr>
        <w:t>1:</w:t>
      </w:r>
      <w:r w:rsidR="00A90C1D">
        <w:rPr>
          <w:b/>
          <w:bCs/>
        </w:rPr>
        <w:t xml:space="preserve"> </w:t>
      </w:r>
      <w:r w:rsidR="00E93F15" w:rsidRPr="00EE1DBD">
        <w:rPr>
          <w:b/>
          <w:bCs/>
        </w:rPr>
        <w:t>What themes emerge when journalists discuss media literacy in trade/professional literature?</w:t>
      </w:r>
      <w:r w:rsidR="006210AA" w:rsidRPr="00EE1DBD">
        <w:rPr>
          <w:b/>
          <w:bCs/>
        </w:rPr>
        <w:t xml:space="preserve"> </w:t>
      </w:r>
    </w:p>
    <w:p w14:paraId="05DB4123" w14:textId="4F5A95F8" w:rsidR="006D712D" w:rsidRDefault="006D712D" w:rsidP="003A0FB1">
      <w:pPr>
        <w:spacing w:line="480" w:lineRule="auto"/>
        <w:ind w:firstLine="720"/>
      </w:pPr>
      <w:r w:rsidRPr="00EE1DBD">
        <w:t>Of the 7</w:t>
      </w:r>
      <w:r w:rsidR="00033337" w:rsidRPr="00EE1DBD">
        <w:t>8</w:t>
      </w:r>
      <w:r w:rsidRPr="00EE1DBD">
        <w:t xml:space="preserve"> sentences that mentioned media literacy, </w:t>
      </w:r>
      <w:r w:rsidR="004F3802" w:rsidRPr="00EE1DBD">
        <w:t>ten major</w:t>
      </w:r>
      <w:r w:rsidRPr="00EE1DBD">
        <w:t xml:space="preserve"> themes emerged (see Figure 1). </w:t>
      </w:r>
      <w:r w:rsidR="004F3802" w:rsidRPr="00EE1DBD">
        <w:t xml:space="preserve">In order of frequency: skepticism of media literacy (39), pedagogy (35), associations and biographies and bylines that mention media literacy (29), politics and legislation (19), professional service </w:t>
      </w:r>
      <w:r w:rsidR="00733CA6" w:rsidRPr="00EE1DBD">
        <w:t>and obligation</w:t>
      </w:r>
      <w:r w:rsidR="00342A83">
        <w:t xml:space="preserve"> </w:t>
      </w:r>
      <w:r w:rsidR="004F3802" w:rsidRPr="00EE1DBD">
        <w:t>(17</w:t>
      </w:r>
      <w:r w:rsidR="00342A83" w:rsidRPr="00EE1DBD">
        <w:t>), corporatism</w:t>
      </w:r>
      <w:r w:rsidR="004F3802" w:rsidRPr="00EE1DBD">
        <w:t xml:space="preserve"> (16), social justice</w:t>
      </w:r>
      <w:r w:rsidR="00342A83">
        <w:t xml:space="preserve">, </w:t>
      </w:r>
      <w:r w:rsidR="004F3802" w:rsidRPr="00EE1DBD">
        <w:t xml:space="preserve">diversity, equity and inclusion (10), misinformation and </w:t>
      </w:r>
      <w:r w:rsidR="004674F3" w:rsidRPr="00EE1DBD">
        <w:t>disinformation</w:t>
      </w:r>
      <w:r w:rsidR="004F3802" w:rsidRPr="00EE1DBD">
        <w:t xml:space="preserve"> (</w:t>
      </w:r>
      <w:r w:rsidR="004674F3" w:rsidRPr="00EE1DBD">
        <w:t>9</w:t>
      </w:r>
      <w:proofErr w:type="gramStart"/>
      <w:r w:rsidR="004674F3" w:rsidRPr="00EE1DBD">
        <w:t>),  call</w:t>
      </w:r>
      <w:proofErr w:type="gramEnd"/>
      <w:r w:rsidR="004674F3" w:rsidRPr="00EE1DBD">
        <w:t xml:space="preserve"> to action (7), and cognitive load imposed on students when making determinations of information reliability (3).  These results will be used in future studies as a starting point for coding. Additionally, these can be grouped into general trends that offer insight.</w:t>
      </w:r>
    </w:p>
    <w:p w14:paraId="61381891" w14:textId="40136BD6" w:rsidR="00342A83" w:rsidRDefault="00342A83" w:rsidP="003A0FB1">
      <w:pPr>
        <w:spacing w:line="480" w:lineRule="auto"/>
        <w:ind w:firstLine="720"/>
      </w:pPr>
    </w:p>
    <w:p w14:paraId="441CBF91" w14:textId="77777777" w:rsidR="00342A83" w:rsidRPr="003A0FB1" w:rsidRDefault="00342A83" w:rsidP="003A0FB1">
      <w:pPr>
        <w:spacing w:line="480" w:lineRule="auto"/>
        <w:ind w:firstLine="720"/>
        <w:rPr>
          <w:i/>
          <w:iCs/>
        </w:rPr>
      </w:pPr>
    </w:p>
    <w:p w14:paraId="3F95D1DC" w14:textId="008EBBEB" w:rsidR="00F66BB3" w:rsidRPr="00EE1DBD" w:rsidRDefault="006D712D" w:rsidP="003A0FB1">
      <w:pPr>
        <w:spacing w:line="480" w:lineRule="auto"/>
        <w:rPr>
          <w:b/>
          <w:bCs/>
        </w:rPr>
      </w:pPr>
      <w:r w:rsidRPr="00EE1DBD">
        <w:rPr>
          <w:b/>
          <w:bCs/>
        </w:rPr>
        <w:lastRenderedPageBreak/>
        <w:t>Figure 1</w:t>
      </w:r>
    </w:p>
    <w:p w14:paraId="6264C600" w14:textId="5B4DC086" w:rsidR="006D712D" w:rsidRPr="00EE1DBD" w:rsidRDefault="006D712D" w:rsidP="003A0FB1">
      <w:pPr>
        <w:spacing w:line="480" w:lineRule="auto"/>
        <w:rPr>
          <w:i/>
          <w:iCs/>
        </w:rPr>
      </w:pPr>
      <w:r w:rsidRPr="00EE1DBD">
        <w:rPr>
          <w:i/>
          <w:iCs/>
        </w:rPr>
        <w:t>Themes in Mentions of Media Literacy</w:t>
      </w:r>
    </w:p>
    <w:p w14:paraId="3CB8BA24" w14:textId="4F0CDA32" w:rsidR="006D712D" w:rsidRPr="00EE1DBD" w:rsidRDefault="006D712D" w:rsidP="003A0FB1">
      <w:pPr>
        <w:spacing w:line="480" w:lineRule="auto"/>
      </w:pPr>
    </w:p>
    <w:p w14:paraId="0D91374C" w14:textId="674FB037" w:rsidR="000070A7" w:rsidRPr="00EE1DBD" w:rsidRDefault="000070A7" w:rsidP="003A0FB1">
      <w:pPr>
        <w:spacing w:line="480" w:lineRule="auto"/>
      </w:pPr>
      <w:r w:rsidRPr="00EE1DBD">
        <w:rPr>
          <w:noProof/>
        </w:rPr>
        <w:drawing>
          <wp:inline distT="0" distB="0" distL="0" distR="0" wp14:anchorId="77281A8C" wp14:editId="46EEFFFF">
            <wp:extent cx="5486400" cy="3200400"/>
            <wp:effectExtent l="0" t="0" r="12700" b="127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C7200CF" w14:textId="6C95EA5A" w:rsidR="000070A7" w:rsidRPr="00EE1DBD" w:rsidRDefault="000070A7" w:rsidP="003A0FB1">
      <w:pPr>
        <w:spacing w:line="480" w:lineRule="auto"/>
        <w:rPr>
          <w:i/>
          <w:iCs/>
        </w:rPr>
      </w:pPr>
    </w:p>
    <w:p w14:paraId="770EE78E" w14:textId="7ECBDE1D" w:rsidR="004674F3" w:rsidRPr="003A0FB1" w:rsidRDefault="004674F3" w:rsidP="003A0FB1">
      <w:pPr>
        <w:spacing w:line="480" w:lineRule="auto"/>
        <w:rPr>
          <w:b/>
          <w:bCs/>
          <w:i/>
          <w:iCs/>
        </w:rPr>
      </w:pPr>
      <w:r w:rsidRPr="00EE1DBD">
        <w:rPr>
          <w:b/>
          <w:bCs/>
          <w:i/>
          <w:iCs/>
        </w:rPr>
        <w:t>Skepticism of Corporate Involvement in Media Literacy</w:t>
      </w:r>
    </w:p>
    <w:p w14:paraId="0943D7DD" w14:textId="54684325" w:rsidR="004674F3" w:rsidRPr="00EE1DBD" w:rsidRDefault="004674F3" w:rsidP="003A0FB1">
      <w:pPr>
        <w:spacing w:line="480" w:lineRule="auto"/>
        <w:ind w:firstLine="720"/>
      </w:pPr>
      <w:r w:rsidRPr="00EE1DBD">
        <w:t>The most prominent theme expressed by authors and those they interviewed in the text of their work was skepticism.</w:t>
      </w:r>
      <w:r w:rsidR="00BA113F">
        <w:t xml:space="preserve"> Skepticism of media literacy was expressed as a systemic critique of media literacy implementation, media literacy as an idea, and media literacy as it has been co-opted to push commercial products or services.</w:t>
      </w:r>
      <w:r w:rsidRPr="00EE1DBD">
        <w:t xml:space="preserve"> Since articles were coded for concurrent themes (see </w:t>
      </w:r>
      <w:r w:rsidR="00CA3ABC" w:rsidRPr="00EE1DBD">
        <w:t>A</w:t>
      </w:r>
      <w:r w:rsidRPr="00EE1DBD">
        <w:t xml:space="preserve">ppendix), it is possible to see that most but not </w:t>
      </w:r>
      <w:r w:rsidR="00342A83" w:rsidRPr="00EE1DBD">
        <w:t>all</w:t>
      </w:r>
      <w:r w:rsidRPr="00EE1DBD">
        <w:t xml:space="preserve"> these expressions of skepticism necessarily</w:t>
      </w:r>
      <w:r w:rsidR="00342A83">
        <w:t xml:space="preserve"> referred to</w:t>
      </w:r>
      <w:r w:rsidRPr="00EE1DBD">
        <w:t xml:space="preserve"> a rejection of media literacy</w:t>
      </w:r>
      <w:r w:rsidR="00342A83">
        <w:t xml:space="preserve"> by the journalist who wrote the given article</w:t>
      </w:r>
      <w:r w:rsidRPr="00EE1DBD">
        <w:t>. Of the 39 mentions, 22 were largely negative assessments of media literacy efforts, expressing criticisms of so-called “corporate media literacy” or media literacy efforts designed by news organizations</w:t>
      </w:r>
      <w:r w:rsidR="005F2A22" w:rsidRPr="00EE1DBD">
        <w:t xml:space="preserve">. One article from the data is a good example of the sentiments expressed in general </w:t>
      </w:r>
      <w:r w:rsidR="005F2A22" w:rsidRPr="00EE1DBD">
        <w:lastRenderedPageBreak/>
        <w:t>throughout the codes of skepticism and corporatism, as well as some related codes. Riggio says</w:t>
      </w:r>
      <w:r w:rsidR="00A064E5" w:rsidRPr="00EE1DBD">
        <w:t xml:space="preserve"> (2020) </w:t>
      </w:r>
      <w:r w:rsidR="005F2A22" w:rsidRPr="00EE1DBD">
        <w:t>“There are a lot of groups that advocate for “media literacy,” but really what’s behind them is corporate dollars, trying to get corporate software and corporate products in the classroom to get students familiarized with them” (para</w:t>
      </w:r>
      <w:r w:rsidR="00A064E5" w:rsidRPr="00EE1DBD">
        <w:t>.</w:t>
      </w:r>
      <w:r w:rsidR="005F2A22" w:rsidRPr="00EE1DBD">
        <w:t xml:space="preserve"> 8).</w:t>
      </w:r>
      <w:r w:rsidR="00A064E5" w:rsidRPr="00EE1DBD">
        <w:t xml:space="preserve"> </w:t>
      </w:r>
      <w:r w:rsidR="005F2A22" w:rsidRPr="00EE1DBD">
        <w:t xml:space="preserve">This plugs into broader systemic critiques of power and access that are touched upon by several of the sentences. This is supported by overlap in other theme categories with </w:t>
      </w:r>
      <w:r w:rsidR="00342A83">
        <w:t xml:space="preserve">the </w:t>
      </w:r>
      <w:r w:rsidR="00342A83" w:rsidRPr="00EE1DBD">
        <w:t>skepticism</w:t>
      </w:r>
      <w:r w:rsidR="00342A83">
        <w:t xml:space="preserve"> code</w:t>
      </w:r>
      <w:r w:rsidR="00342A83" w:rsidRPr="00EE1DBD">
        <w:t>.</w:t>
      </w:r>
      <w:r w:rsidR="005F2A22" w:rsidRPr="00EE1DBD">
        <w:t xml:space="preserve"> 68.8% (11 of 16) mentions of corporatism were coded with skepticism, and of those 63.6% (7 of 11) were coded “negative”. Furthermore, other code combinations like DEI and corporatism yield similar critiques</w:t>
      </w:r>
      <w:r w:rsidR="00594543" w:rsidRPr="00EE1DBD">
        <w:t>. Again, Riggio</w:t>
      </w:r>
      <w:r w:rsidR="00A064E5" w:rsidRPr="00EE1DBD">
        <w:t xml:space="preserve"> (2020):</w:t>
      </w:r>
      <w:r w:rsidR="005F2A22" w:rsidRPr="00EE1DBD">
        <w:t xml:space="preserve"> “</w:t>
      </w:r>
      <w:r w:rsidR="005F2A22" w:rsidRPr="005F2A22">
        <w:t>A critical perspective is going to ask those critical questions about the objectification of women, racist, colonial mentalities that are in media content, but an a-critical perspective, corporate media literacy— they’re not really going to ask those questions</w:t>
      </w:r>
      <w:r w:rsidR="005F2A22" w:rsidRPr="00EE1DBD">
        <w:t>” (para</w:t>
      </w:r>
      <w:r w:rsidR="00A064E5" w:rsidRPr="00EE1DBD">
        <w:t>.</w:t>
      </w:r>
      <w:r w:rsidR="005F2A22" w:rsidRPr="00EE1DBD">
        <w:t>23).</w:t>
      </w:r>
      <w:r w:rsidR="00A064E5" w:rsidRPr="00EE1DBD">
        <w:t xml:space="preserve"> </w:t>
      </w:r>
      <w:r w:rsidR="00594543" w:rsidRPr="00EE1DBD">
        <w:t>Riggio’s</w:t>
      </w:r>
      <w:r w:rsidR="005F2A22" w:rsidRPr="00EE1DBD">
        <w:t xml:space="preserve"> example</w:t>
      </w:r>
      <w:r w:rsidR="00A064E5" w:rsidRPr="00EE1DBD">
        <w:t xml:space="preserve"> (2020)</w:t>
      </w:r>
      <w:r w:rsidR="00F77A41" w:rsidRPr="00EE1DBD">
        <w:t xml:space="preserve"> also level</w:t>
      </w:r>
      <w:r w:rsidR="00594543" w:rsidRPr="00EE1DBD">
        <w:t>s</w:t>
      </w:r>
      <w:r w:rsidR="005F2A22" w:rsidRPr="00EE1DBD">
        <w:t xml:space="preserve"> a </w:t>
      </w:r>
      <w:r w:rsidR="00594543" w:rsidRPr="00EE1DBD">
        <w:t>common</w:t>
      </w:r>
      <w:r w:rsidR="00F77A41" w:rsidRPr="00EE1DBD">
        <w:t xml:space="preserve"> critiqu</w:t>
      </w:r>
      <w:r w:rsidR="005F2A22" w:rsidRPr="00EE1DBD">
        <w:t>e</w:t>
      </w:r>
      <w:r w:rsidR="00594543" w:rsidRPr="00EE1DBD">
        <w:t xml:space="preserve"> against strictures </w:t>
      </w:r>
      <w:r w:rsidR="005F2A22" w:rsidRPr="00EE1DBD">
        <w:t>of power</w:t>
      </w:r>
      <w:r w:rsidR="00F77A41" w:rsidRPr="00EE1DBD">
        <w:t xml:space="preserve"> that include</w:t>
      </w:r>
      <w:r w:rsidR="00594543" w:rsidRPr="00EE1DBD">
        <w:t>s mention of</w:t>
      </w:r>
      <w:r w:rsidR="00F77A41" w:rsidRPr="00EE1DBD">
        <w:t xml:space="preserve"> both corporate media and social and political capital</w:t>
      </w:r>
      <w:r w:rsidR="00A064E5" w:rsidRPr="00EE1DBD">
        <w:t xml:space="preserve"> “</w:t>
      </w:r>
      <w:r w:rsidRPr="00EE1DBD">
        <w:t>The problem with lessons about media literacy coming from the mouths of corporate talking heads is exacerbated by the elitist pipeline that leads many reporters from Ivy League schools, to political spheres and eventually to journalism</w:t>
      </w:r>
      <w:r w:rsidR="0098149C" w:rsidRPr="00EE1DBD">
        <w:t>”</w:t>
      </w:r>
      <w:r w:rsidRPr="00EE1DBD">
        <w:t xml:space="preserve"> </w:t>
      </w:r>
      <w:r w:rsidR="00A064E5" w:rsidRPr="00EE1DBD">
        <w:t>(</w:t>
      </w:r>
      <w:r w:rsidR="0098149C" w:rsidRPr="00EE1DBD">
        <w:t>para</w:t>
      </w:r>
      <w:r w:rsidR="00A064E5" w:rsidRPr="00EE1DBD">
        <w:t>.</w:t>
      </w:r>
      <w:r w:rsidR="0098149C" w:rsidRPr="00EE1DBD">
        <w:t xml:space="preserve"> 25)</w:t>
      </w:r>
      <w:r w:rsidR="00A064E5" w:rsidRPr="00EE1DBD">
        <w:t>.</w:t>
      </w:r>
    </w:p>
    <w:p w14:paraId="0ABCF1A3" w14:textId="3C748AA5" w:rsidR="004674F3" w:rsidRPr="00EE1DBD" w:rsidRDefault="004674F3" w:rsidP="003A0FB1">
      <w:pPr>
        <w:spacing w:line="480" w:lineRule="auto"/>
        <w:ind w:firstLine="720"/>
      </w:pPr>
      <w:r w:rsidRPr="00EE1DBD">
        <w:t xml:space="preserve">10 of the mentions that exhibit skepticism </w:t>
      </w:r>
      <w:proofErr w:type="gramStart"/>
      <w:r w:rsidRPr="00EE1DBD">
        <w:t>are</w:t>
      </w:r>
      <w:proofErr w:type="gramEnd"/>
      <w:r w:rsidRPr="00EE1DBD">
        <w:t xml:space="preserve"> positive in nature, explaining that media literacy is worthy as a goal, and expressing optimism about its ultimate </w:t>
      </w:r>
      <w:r w:rsidR="00342A83" w:rsidRPr="00EE1DBD">
        <w:t>success</w:t>
      </w:r>
      <w:r w:rsidR="00342A83">
        <w:t>. These results also</w:t>
      </w:r>
      <w:r w:rsidRPr="00EE1DBD">
        <w:t xml:space="preserve"> not</w:t>
      </w:r>
      <w:r w:rsidR="00342A83">
        <w:t>e</w:t>
      </w:r>
      <w:r w:rsidRPr="00EE1DBD">
        <w:t xml:space="preserve"> </w:t>
      </w:r>
      <w:r w:rsidR="00342A83">
        <w:t>that media literacy programming</w:t>
      </w:r>
      <w:r w:rsidRPr="00EE1DBD">
        <w:t xml:space="preserve"> needs access to government funds and power structures </w:t>
      </w:r>
      <w:proofErr w:type="gramStart"/>
      <w:r w:rsidRPr="00EE1DBD">
        <w:t>in order to</w:t>
      </w:r>
      <w:proofErr w:type="gramEnd"/>
      <w:r w:rsidRPr="00EE1DBD">
        <w:t xml:space="preserve"> be effective. The remaining 7 mentions are neutral descriptions of the arguments surrounding media literacy, both positive and negative. </w:t>
      </w:r>
    </w:p>
    <w:p w14:paraId="4E4C60ED" w14:textId="5DF7A24C" w:rsidR="000070A7" w:rsidRDefault="000070A7" w:rsidP="003A0FB1">
      <w:pPr>
        <w:spacing w:line="480" w:lineRule="auto"/>
      </w:pPr>
    </w:p>
    <w:p w14:paraId="001A2CF5" w14:textId="77777777" w:rsidR="00342A83" w:rsidRPr="00EE1DBD" w:rsidRDefault="00342A83" w:rsidP="003A0FB1">
      <w:pPr>
        <w:spacing w:line="480" w:lineRule="auto"/>
      </w:pPr>
    </w:p>
    <w:p w14:paraId="41BF2F6A" w14:textId="6E150422" w:rsidR="00E74424" w:rsidRPr="00EE1DBD" w:rsidRDefault="00E74424" w:rsidP="003A0FB1">
      <w:pPr>
        <w:spacing w:line="480" w:lineRule="auto"/>
        <w:rPr>
          <w:b/>
          <w:bCs/>
          <w:i/>
          <w:iCs/>
        </w:rPr>
      </w:pPr>
      <w:r w:rsidRPr="00EE1DBD">
        <w:rPr>
          <w:b/>
          <w:bCs/>
          <w:i/>
          <w:iCs/>
        </w:rPr>
        <w:lastRenderedPageBreak/>
        <w:t>Pedagogy</w:t>
      </w:r>
      <w:r w:rsidR="00733CA6" w:rsidRPr="00EE1DBD">
        <w:rPr>
          <w:b/>
          <w:bCs/>
          <w:i/>
          <w:iCs/>
        </w:rPr>
        <w:t xml:space="preserve">, Association, Biographies, Service and Professional </w:t>
      </w:r>
      <w:r w:rsidR="00C30AA2" w:rsidRPr="00EE1DBD">
        <w:rPr>
          <w:b/>
          <w:bCs/>
          <w:i/>
          <w:iCs/>
        </w:rPr>
        <w:t>Obligations</w:t>
      </w:r>
    </w:p>
    <w:p w14:paraId="432185C1" w14:textId="2358816B" w:rsidR="00EE1DBD" w:rsidRPr="00EE1DBD" w:rsidRDefault="009158B0" w:rsidP="00A90C1D">
      <w:pPr>
        <w:spacing w:line="480" w:lineRule="auto"/>
        <w:ind w:firstLine="720"/>
      </w:pPr>
      <w:r w:rsidRPr="00EE1DBD">
        <w:t>Of the 35 mentions coded as addressing pedagogy, nearly all</w:t>
      </w:r>
      <w:r w:rsidR="00733CA6" w:rsidRPr="00EE1DBD">
        <w:t xml:space="preserve"> (</w:t>
      </w:r>
      <w:r w:rsidR="004F6A37" w:rsidRPr="00EE1DBD">
        <w:t>94.3%</w:t>
      </w:r>
      <w:r w:rsidR="00733CA6" w:rsidRPr="00EE1DBD">
        <w:t>)</w:t>
      </w:r>
      <w:r w:rsidRPr="00EE1DBD">
        <w:t xml:space="preserve"> included at least one </w:t>
      </w:r>
      <w:r w:rsidR="00733CA6" w:rsidRPr="00EE1DBD">
        <w:t>other theme code, suggesting that the idea of pedagogy is intrinsically linked to other concerns. Of the 17 mentions of professional service/obligation, 10 were concurrently coded as related to pedagogy, which suggests that journalists are thinking about their professional ethics and duties as connected to media literacy pedagogy. Of the 29 mentions of associations and professional biographies,</w:t>
      </w:r>
      <w:r w:rsidR="00C30AA2" w:rsidRPr="00EE1DBD">
        <w:t xml:space="preserve"> 15 were concurrently coded as addressing pedagogy. This suggests that many of the authors or those profiled in the articles were also educators or affiliated with thinktanks, programs, or associations. In 3 cases, a sentence was coded for all three at the same time (pedagogy, association/bio, and service/professional obligation). In one illustrative example</w:t>
      </w:r>
      <w:r w:rsidR="00A064E5" w:rsidRPr="00EE1DBD">
        <w:t xml:space="preserve"> (</w:t>
      </w:r>
      <w:proofErr w:type="spellStart"/>
      <w:r w:rsidR="00A064E5" w:rsidRPr="00EE1DBD">
        <w:t>Fluekiger</w:t>
      </w:r>
      <w:proofErr w:type="spellEnd"/>
      <w:r w:rsidR="00A064E5" w:rsidRPr="00EE1DBD">
        <w:t>, 2018)</w:t>
      </w:r>
      <w:r w:rsidR="00C30AA2" w:rsidRPr="00EE1DBD">
        <w:t>, the author says:</w:t>
      </w:r>
      <w:r w:rsidR="00A064E5" w:rsidRPr="00EE1DBD">
        <w:t xml:space="preserve"> </w:t>
      </w:r>
      <w:r w:rsidR="00C30AA2" w:rsidRPr="00EE1DBD">
        <w:t xml:space="preserve">“The Globe and Mail in Canada announced a partnership with charity </w:t>
      </w:r>
      <w:r w:rsidR="0098149C" w:rsidRPr="00EE1DBD">
        <w:t>organization</w:t>
      </w:r>
      <w:r w:rsidR="00C30AA2" w:rsidRPr="00EE1DBD">
        <w:t xml:space="preserve"> WE last year, designed to provide online learning and discussion aids on media literacy, as well as teaching resources for educators</w:t>
      </w:r>
      <w:r w:rsidR="00A064E5" w:rsidRPr="00EE1DBD">
        <w:t xml:space="preserve">” </w:t>
      </w:r>
      <w:r w:rsidR="00C30AA2" w:rsidRPr="00EE1DBD">
        <w:t>(</w:t>
      </w:r>
      <w:r w:rsidR="0098149C" w:rsidRPr="00EE1DBD">
        <w:t>para</w:t>
      </w:r>
      <w:r w:rsidR="00A064E5" w:rsidRPr="00EE1DBD">
        <w:t>.</w:t>
      </w:r>
      <w:r w:rsidR="0098149C" w:rsidRPr="00EE1DBD">
        <w:t xml:space="preserve"> 8)</w:t>
      </w:r>
      <w:r w:rsidR="00A064E5" w:rsidRPr="00EE1DBD">
        <w:t>.</w:t>
      </w:r>
    </w:p>
    <w:p w14:paraId="42D07A08" w14:textId="4B0DACBA" w:rsidR="00900735" w:rsidRPr="00A90C1D" w:rsidRDefault="004F6A37" w:rsidP="003A0FB1">
      <w:pPr>
        <w:spacing w:line="480" w:lineRule="auto"/>
        <w:rPr>
          <w:b/>
          <w:bCs/>
          <w:i/>
          <w:iCs/>
        </w:rPr>
      </w:pPr>
      <w:r w:rsidRPr="00EE1DBD">
        <w:rPr>
          <w:b/>
          <w:bCs/>
          <w:i/>
          <w:iCs/>
        </w:rPr>
        <w:t>DEI, Corporatism, and</w:t>
      </w:r>
      <w:r w:rsidR="00900735" w:rsidRPr="00EE1DBD">
        <w:rPr>
          <w:b/>
          <w:bCs/>
          <w:i/>
          <w:iCs/>
        </w:rPr>
        <w:t xml:space="preserve"> Call to Action</w:t>
      </w:r>
    </w:p>
    <w:p w14:paraId="237C6157" w14:textId="5EED651E" w:rsidR="00E74424" w:rsidRDefault="004F6A37" w:rsidP="003A0FB1">
      <w:pPr>
        <w:spacing w:line="480" w:lineRule="auto"/>
      </w:pPr>
      <w:r w:rsidRPr="00EE1DBD">
        <w:tab/>
      </w:r>
      <w:r w:rsidR="00DB445A" w:rsidRPr="00EE1DBD">
        <w:t>Mentions</w:t>
      </w:r>
      <w:r w:rsidRPr="00EE1DBD">
        <w:t xml:space="preserve"> of diversity, equity, and inclusion (DEI) </w:t>
      </w:r>
      <w:r w:rsidR="00DB445A" w:rsidRPr="00EE1DBD">
        <w:t>and social justice appeared 10 times in the results. One might expect that these mentions would co-occur with mentions of politics and law</w:t>
      </w:r>
      <w:r w:rsidR="002109A2" w:rsidRPr="00EE1DBD">
        <w:t xml:space="preserve"> </w:t>
      </w:r>
      <w:proofErr w:type="gramStart"/>
      <w:r w:rsidR="002109A2" w:rsidRPr="00EE1DBD">
        <w:t>with regard to</w:t>
      </w:r>
      <w:proofErr w:type="gramEnd"/>
      <w:r w:rsidR="002109A2" w:rsidRPr="00EE1DBD">
        <w:t xml:space="preserve"> forming DEI-informed media literacy policy</w:t>
      </w:r>
      <w:r w:rsidR="00DB445A" w:rsidRPr="00EE1DBD">
        <w:t>, but this only happened in 30% of the cases.</w:t>
      </w:r>
      <w:r w:rsidR="002109A2" w:rsidRPr="00EE1DBD">
        <w:t xml:space="preserve"> </w:t>
      </w:r>
      <w:r w:rsidR="00DB445A" w:rsidRPr="00EE1DBD">
        <w:t xml:space="preserve"> </w:t>
      </w:r>
      <w:r w:rsidR="002109A2" w:rsidRPr="00EE1DBD">
        <w:t>Similarly, only 2 concurrent mentions of DEI and corporatism were coded. The DEI code was distinct enough that it was added to the codebook, but the number of DEI-coded mentions resisted any easy cross-referencing with other codes</w:t>
      </w:r>
      <w:r w:rsidR="005F2A22" w:rsidRPr="00EE1DBD">
        <w:t>, although they did broadly support other code combinations as mentioned above.</w:t>
      </w:r>
      <w:r w:rsidR="002109A2" w:rsidRPr="00EE1DBD">
        <w:t xml:space="preserve"> Given a larger data set, more connections will likely emerge here. </w:t>
      </w:r>
    </w:p>
    <w:p w14:paraId="544D071D" w14:textId="77777777" w:rsidR="00A90C1D" w:rsidRPr="00EE1DBD" w:rsidRDefault="00A90C1D" w:rsidP="003A0FB1">
      <w:pPr>
        <w:spacing w:line="480" w:lineRule="auto"/>
      </w:pPr>
    </w:p>
    <w:p w14:paraId="7352E065" w14:textId="09F06C6E" w:rsidR="0067314A" w:rsidRPr="003A0FB1" w:rsidRDefault="0067314A" w:rsidP="003A0FB1">
      <w:pPr>
        <w:spacing w:line="480" w:lineRule="auto"/>
        <w:rPr>
          <w:b/>
          <w:bCs/>
          <w:i/>
          <w:iCs/>
        </w:rPr>
      </w:pPr>
      <w:r w:rsidRPr="00EE1DBD">
        <w:rPr>
          <w:b/>
          <w:bCs/>
          <w:i/>
          <w:iCs/>
        </w:rPr>
        <w:lastRenderedPageBreak/>
        <w:t>Other Trends</w:t>
      </w:r>
    </w:p>
    <w:p w14:paraId="0E57B07E" w14:textId="677C68D0" w:rsidR="004674F3" w:rsidRPr="003A0FB1" w:rsidRDefault="0067314A" w:rsidP="003A0FB1">
      <w:pPr>
        <w:spacing w:line="480" w:lineRule="auto"/>
        <w:ind w:firstLine="720"/>
      </w:pPr>
      <w:r w:rsidRPr="00EE1DBD">
        <w:t>Other trends are discernable in the data</w:t>
      </w:r>
      <w:r w:rsidR="00E75347" w:rsidRPr="00EE1DBD">
        <w:t xml:space="preserve"> at this early stage</w:t>
      </w:r>
      <w:r w:rsidRPr="00EE1DBD">
        <w:t xml:space="preserve">, but the number of results and correlations are too small to draw even tentative conclusions. In a bigger sample set, I recommend researchers keep their eyes on relationships between mentions of misinformation/disinformation and calls to action, as well as misinformation/disinformation and DEI.  It is also likely that other potential codes will emerge given larger sample sizes, which should </w:t>
      </w:r>
      <w:r w:rsidR="00AA322E" w:rsidRPr="00EE1DBD">
        <w:t xml:space="preserve">be reintegrated into the codebook for future work </w:t>
      </w:r>
      <w:r w:rsidR="00E75347" w:rsidRPr="00EE1DBD">
        <w:t>in keeping with</w:t>
      </w:r>
      <w:r w:rsidR="00AA322E" w:rsidRPr="00EE1DBD">
        <w:t xml:space="preserve"> the grounded theory </w:t>
      </w:r>
      <w:r w:rsidR="00E75347" w:rsidRPr="00EE1DBD">
        <w:t>approach</w:t>
      </w:r>
      <w:r w:rsidR="00AA322E" w:rsidRPr="00EE1DBD">
        <w:t xml:space="preserve">. </w:t>
      </w:r>
    </w:p>
    <w:p w14:paraId="420A2B48" w14:textId="1391BE67" w:rsidR="00033337" w:rsidRPr="00EE1DBD" w:rsidRDefault="00E93F15" w:rsidP="003A0FB1">
      <w:pPr>
        <w:spacing w:line="480" w:lineRule="auto"/>
        <w:rPr>
          <w:b/>
          <w:bCs/>
        </w:rPr>
      </w:pPr>
      <w:r w:rsidRPr="00EE1DBD">
        <w:rPr>
          <w:b/>
          <w:bCs/>
        </w:rPr>
        <w:t>R</w:t>
      </w:r>
      <w:r w:rsidR="00342A83">
        <w:rPr>
          <w:b/>
          <w:bCs/>
        </w:rPr>
        <w:t>Q</w:t>
      </w:r>
      <w:r w:rsidRPr="00EE1DBD">
        <w:rPr>
          <w:b/>
          <w:bCs/>
        </w:rPr>
        <w:t>2: Do journalists’ mentions of media literacy occur in positive, negative, or neutral context</w:t>
      </w:r>
      <w:r w:rsidR="003A0FB1">
        <w:rPr>
          <w:b/>
          <w:bCs/>
        </w:rPr>
        <w:t>?</w:t>
      </w:r>
    </w:p>
    <w:p w14:paraId="1D49195F" w14:textId="165B5604" w:rsidR="00033337" w:rsidRPr="00EE1DBD" w:rsidRDefault="00ED3084" w:rsidP="003A0FB1">
      <w:pPr>
        <w:spacing w:line="480" w:lineRule="auto"/>
        <w:ind w:firstLine="720"/>
      </w:pPr>
      <w:r w:rsidRPr="00EE1DBD">
        <w:t xml:space="preserve">Mentions were coded for relative </w:t>
      </w:r>
      <w:r w:rsidR="00342A83">
        <w:t>positive</w:t>
      </w:r>
      <w:r w:rsidRPr="00EE1DBD">
        <w:t xml:space="preserve"> </w:t>
      </w:r>
      <w:r w:rsidR="00342A83">
        <w:t>or negative outlooks</w:t>
      </w:r>
      <w:r w:rsidRPr="00EE1DBD">
        <w:t xml:space="preserve"> about media literacy in general (see Figure 2). If no discernable orientation was observed, or if no clear </w:t>
      </w:r>
      <w:r w:rsidR="00BC0C41" w:rsidRPr="00EE1DBD">
        <w:t>valiance</w:t>
      </w:r>
      <w:r w:rsidRPr="00EE1DBD">
        <w:t xml:space="preserve"> was evident, mentions were coded as neutral. </w:t>
      </w:r>
      <w:r w:rsidR="007248CF" w:rsidRPr="00EE1DBD">
        <w:t>Over half of</w:t>
      </w:r>
      <w:r w:rsidR="00033337" w:rsidRPr="00EE1DBD">
        <w:t xml:space="preserve"> </w:t>
      </w:r>
      <w:r w:rsidR="007248CF" w:rsidRPr="00EE1DBD">
        <w:t>mentions 54.4% (44 of 78)</w:t>
      </w:r>
      <w:r w:rsidR="00033337" w:rsidRPr="00EE1DBD">
        <w:t xml:space="preserve"> had a positive orientation</w:t>
      </w:r>
      <w:r w:rsidR="007248CF" w:rsidRPr="00EE1DBD">
        <w:t xml:space="preserve"> toward media literacy, whether in pedagogy 71.4% (25 of 35) reflecting optimism about the efficacy of media literacy education, in associations, biographies and bylines 79.3 % (23 of 29) reflecting personal affiliation with and optimism about the efficacy of media literacy with regard to individuals’ professional ambitions</w:t>
      </w:r>
      <w:r w:rsidR="00BC0C41" w:rsidRPr="00EE1DBD">
        <w:t xml:space="preserve">, or in service and professional obligation 82.4% (14 of 17) reflecting optimism about the responsibility of journalists and organizations to support media literacy for ethical and professional reasons. </w:t>
      </w:r>
    </w:p>
    <w:p w14:paraId="60AFC61C" w14:textId="6A24A338" w:rsidR="00051DAD" w:rsidRDefault="00051DAD" w:rsidP="003A0FB1">
      <w:pPr>
        <w:spacing w:line="480" w:lineRule="auto"/>
      </w:pPr>
    </w:p>
    <w:p w14:paraId="1A9685F8" w14:textId="49628296" w:rsidR="003A0FB1" w:rsidRDefault="003A0FB1" w:rsidP="003A0FB1">
      <w:pPr>
        <w:spacing w:line="480" w:lineRule="auto"/>
      </w:pPr>
    </w:p>
    <w:p w14:paraId="63389AB1" w14:textId="0D936F37" w:rsidR="00A90C1D" w:rsidRDefault="00A90C1D" w:rsidP="003A0FB1">
      <w:pPr>
        <w:spacing w:line="480" w:lineRule="auto"/>
      </w:pPr>
    </w:p>
    <w:p w14:paraId="6C1E4E92" w14:textId="77777777" w:rsidR="00A90C1D" w:rsidRPr="00EE1DBD" w:rsidRDefault="00A90C1D" w:rsidP="003A0FB1">
      <w:pPr>
        <w:spacing w:line="480" w:lineRule="auto"/>
      </w:pPr>
    </w:p>
    <w:p w14:paraId="4E1DF75B" w14:textId="2127E949" w:rsidR="00051DAD" w:rsidRPr="00EE1DBD" w:rsidRDefault="00051DAD" w:rsidP="003A0FB1">
      <w:pPr>
        <w:spacing w:line="480" w:lineRule="auto"/>
        <w:rPr>
          <w:b/>
          <w:bCs/>
        </w:rPr>
      </w:pPr>
      <w:r w:rsidRPr="00EE1DBD">
        <w:rPr>
          <w:b/>
          <w:bCs/>
        </w:rPr>
        <w:lastRenderedPageBreak/>
        <w:t>Figure 2.</w:t>
      </w:r>
    </w:p>
    <w:p w14:paraId="6F6CF2ED" w14:textId="1B9E40C8" w:rsidR="00033337" w:rsidRPr="003A0FB1" w:rsidRDefault="00051DAD" w:rsidP="003A0FB1">
      <w:pPr>
        <w:spacing w:line="480" w:lineRule="auto"/>
        <w:rPr>
          <w:i/>
          <w:iCs/>
        </w:rPr>
      </w:pPr>
      <w:r w:rsidRPr="00EE1DBD">
        <w:rPr>
          <w:i/>
          <w:iCs/>
        </w:rPr>
        <w:t xml:space="preserve">Journalists Orientations toward Media Literacy </w:t>
      </w:r>
    </w:p>
    <w:p w14:paraId="0526B61E" w14:textId="506C55B9" w:rsidR="002109A2" w:rsidRDefault="00033337" w:rsidP="003A0FB1">
      <w:pPr>
        <w:spacing w:line="480" w:lineRule="auto"/>
        <w:rPr>
          <w:b/>
          <w:bCs/>
        </w:rPr>
      </w:pPr>
      <w:r w:rsidRPr="00EE1DBD">
        <w:rPr>
          <w:b/>
          <w:bCs/>
          <w:noProof/>
        </w:rPr>
        <w:drawing>
          <wp:inline distT="0" distB="0" distL="0" distR="0" wp14:anchorId="681141F9" wp14:editId="6DAA466E">
            <wp:extent cx="5486400" cy="3200400"/>
            <wp:effectExtent l="0" t="0" r="127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721808F" w14:textId="77777777" w:rsidR="003A0FB1" w:rsidRPr="00EE1DBD" w:rsidRDefault="003A0FB1" w:rsidP="003A0FB1">
      <w:pPr>
        <w:spacing w:line="480" w:lineRule="auto"/>
        <w:rPr>
          <w:b/>
          <w:bCs/>
        </w:rPr>
      </w:pPr>
    </w:p>
    <w:p w14:paraId="5A49DE44" w14:textId="43DD13A4" w:rsidR="00FA6380" w:rsidRPr="00EE1DBD" w:rsidRDefault="00545048" w:rsidP="00342A83">
      <w:pPr>
        <w:spacing w:line="480" w:lineRule="auto"/>
        <w:ind w:firstLine="720"/>
      </w:pPr>
      <w:r w:rsidRPr="00EE1DBD">
        <w:t xml:space="preserve">Negative orientations coincided with </w:t>
      </w:r>
      <w:r w:rsidR="00C563CE" w:rsidRPr="00EE1DBD">
        <w:t>skepticism</w:t>
      </w:r>
      <w:r w:rsidR="00FA6380" w:rsidRPr="00EE1DBD">
        <w:t xml:space="preserve"> of media literacy efficacy</w:t>
      </w:r>
      <w:r w:rsidR="00C563CE" w:rsidRPr="00EE1DBD">
        <w:t xml:space="preserve"> 59.0% (23 of 39</w:t>
      </w:r>
      <w:r w:rsidR="00342A83" w:rsidRPr="00EE1DBD">
        <w:t>), and</w:t>
      </w:r>
      <w:r w:rsidR="00C563CE" w:rsidRPr="00EE1DBD">
        <w:t xml:space="preserve"> corporatism 56.3% (9 of 16).</w:t>
      </w:r>
      <w:r w:rsidR="00342A83">
        <w:t xml:space="preserve"> </w:t>
      </w:r>
      <w:r w:rsidR="00050E82" w:rsidRPr="00EE1DBD">
        <w:t>This seems to reflect journalist</w:t>
      </w:r>
      <w:r w:rsidR="00342A83">
        <w:t>s’</w:t>
      </w:r>
      <w:r w:rsidR="00050E82" w:rsidRPr="00EE1DBD">
        <w:t xml:space="preserve"> uneasiness with corporate media literacy initiatives. These </w:t>
      </w:r>
      <w:r w:rsidR="00FA6380" w:rsidRPr="00EE1DBD">
        <w:t>two codes overlap with negative orientation in a single mention</w:t>
      </w:r>
      <w:r w:rsidR="00050E82" w:rsidRPr="00EE1DBD">
        <w:t xml:space="preserve"> in 8 separate </w:t>
      </w:r>
      <w:r w:rsidR="00342A83">
        <w:t>sentences</w:t>
      </w:r>
      <w:r w:rsidR="00FA6380" w:rsidRPr="00EE1DBD">
        <w:t>,</w:t>
      </w:r>
      <w:r w:rsidR="00050E82" w:rsidRPr="00EE1DBD">
        <w:t xml:space="preserve"> lending further evidence to this interpretation</w:t>
      </w:r>
      <w:r w:rsidR="00FA6380" w:rsidRPr="00EE1DBD">
        <w:t xml:space="preserve"> as in the following:</w:t>
      </w:r>
    </w:p>
    <w:p w14:paraId="33054EF2" w14:textId="1923F347" w:rsidR="00A064E5" w:rsidRPr="00EE1DBD" w:rsidRDefault="00FA6380" w:rsidP="00A90C1D">
      <w:pPr>
        <w:spacing w:line="480" w:lineRule="auto"/>
        <w:ind w:left="720"/>
      </w:pPr>
      <w:r w:rsidRPr="00FA6380">
        <w:rPr>
          <w:color w:val="000000"/>
        </w:rPr>
        <w:t>We might also fail to understand how certain ways of knowing, such as media literacy, can be manipulated and weaponized. We know that some people are more likely to seek alternative, all-e</w:t>
      </w:r>
      <w:r w:rsidRPr="00EE1DBD">
        <w:rPr>
          <w:color w:val="000000"/>
        </w:rPr>
        <w:t>x</w:t>
      </w:r>
      <w:r w:rsidRPr="00FA6380">
        <w:rPr>
          <w:color w:val="000000"/>
        </w:rPr>
        <w:t xml:space="preserve">plaining narratives — those with low social status, victims of discrimination, or people who feel politically powerless. As well as witnessing the rise in 5G conspiracy theories, we may also be e1periencing the rise of certain ways of knowing </w:t>
      </w:r>
      <w:r w:rsidRPr="00FA6380">
        <w:rPr>
          <w:color w:val="000000"/>
        </w:rPr>
        <w:lastRenderedPageBreak/>
        <w:t>and their manipulation, especially in the conte</w:t>
      </w:r>
      <w:r w:rsidRPr="00EE1DBD">
        <w:rPr>
          <w:color w:val="000000"/>
        </w:rPr>
        <w:t>x</w:t>
      </w:r>
      <w:r w:rsidRPr="00FA6380">
        <w:rPr>
          <w:color w:val="000000"/>
        </w:rPr>
        <w:t>t of a resistance to institutions and elites.</w:t>
      </w:r>
      <w:r w:rsidRPr="00EE1DBD">
        <w:rPr>
          <w:color w:val="000000"/>
        </w:rPr>
        <w:t>” (Shane, 2020, para 20)</w:t>
      </w:r>
    </w:p>
    <w:p w14:paraId="426E0819" w14:textId="5FE56929" w:rsidR="00BC0C41" w:rsidRPr="003A0FB1" w:rsidRDefault="00545048" w:rsidP="003A0FB1">
      <w:pPr>
        <w:spacing w:line="480" w:lineRule="auto"/>
        <w:ind w:firstLine="720"/>
      </w:pPr>
      <w:r w:rsidRPr="00EE1DBD">
        <w:t xml:space="preserve">The vast majority of neutral orientations were related to impartial or </w:t>
      </w:r>
      <w:proofErr w:type="gramStart"/>
      <w:r w:rsidRPr="00EE1DBD">
        <w:t>ideologically-</w:t>
      </w:r>
      <w:r w:rsidR="00342A83">
        <w:t>neutral</w:t>
      </w:r>
      <w:proofErr w:type="gramEnd"/>
      <w:r w:rsidRPr="00EE1DBD">
        <w:t xml:space="preserve"> expressions of skepticism and criticism 70% (7 of 10). Mentions described characteristics of media literacy in descriptive terms without clear ideological positions </w:t>
      </w:r>
      <w:r w:rsidR="00342A83" w:rsidRPr="00EE1DBD">
        <w:t>regarding</w:t>
      </w:r>
      <w:r w:rsidRPr="00EE1DBD">
        <w:t xml:space="preserve"> media literacy.  Half of the </w:t>
      </w:r>
      <w:r w:rsidR="00342A83" w:rsidRPr="00EE1DBD">
        <w:t>neutrally</w:t>
      </w:r>
      <w:r w:rsidR="00342A83">
        <w:t xml:space="preserve"> oriented</w:t>
      </w:r>
      <w:r w:rsidRPr="00EE1DBD">
        <w:t xml:space="preserve"> mentions also described pending legislation or proposed political strategies for implementing media literacy policy (5 of 10). </w:t>
      </w:r>
    </w:p>
    <w:p w14:paraId="7C4181ED" w14:textId="77777777" w:rsidR="003A0FB1" w:rsidRDefault="003A0FB1" w:rsidP="003A0FB1">
      <w:pPr>
        <w:spacing w:line="480" w:lineRule="auto"/>
        <w:rPr>
          <w:b/>
          <w:bCs/>
        </w:rPr>
      </w:pPr>
    </w:p>
    <w:p w14:paraId="20937131" w14:textId="51DF34D6" w:rsidR="00BE7A3C" w:rsidRPr="003A0FB1" w:rsidRDefault="00E93F15" w:rsidP="003A0FB1">
      <w:pPr>
        <w:spacing w:line="480" w:lineRule="auto"/>
        <w:rPr>
          <w:b/>
          <w:bCs/>
        </w:rPr>
      </w:pPr>
      <w:r w:rsidRPr="00EE1DBD">
        <w:rPr>
          <w:b/>
          <w:bCs/>
        </w:rPr>
        <w:t>R</w:t>
      </w:r>
      <w:r w:rsidR="00A90C1D">
        <w:rPr>
          <w:b/>
          <w:bCs/>
        </w:rPr>
        <w:t xml:space="preserve">esearch Question </w:t>
      </w:r>
      <w:r w:rsidRPr="00EE1DBD">
        <w:rPr>
          <w:b/>
          <w:bCs/>
        </w:rPr>
        <w:t>3: How do comments correspond to Shoemaker and Reese’s hierarchy of influences model?</w:t>
      </w:r>
    </w:p>
    <w:p w14:paraId="3EA21E85" w14:textId="0FD68BD7" w:rsidR="00342A83" w:rsidRDefault="00051DAD" w:rsidP="00342A83">
      <w:pPr>
        <w:spacing w:line="480" w:lineRule="auto"/>
        <w:ind w:firstLine="720"/>
      </w:pPr>
      <w:r w:rsidRPr="00EE1DBD">
        <w:t xml:space="preserve">All 78 mentions had some clear connection to at least one level of Shoemaker and Reese’s </w:t>
      </w:r>
      <w:r w:rsidR="00342A83">
        <w:t xml:space="preserve">(2014) </w:t>
      </w:r>
      <w:r w:rsidRPr="00EE1DBD">
        <w:t xml:space="preserve">hierarchy of influences model (see Figure 3). </w:t>
      </w:r>
      <w:r w:rsidR="00342A83">
        <w:t xml:space="preserve"> </w:t>
      </w:r>
      <w:r w:rsidR="003D6982" w:rsidRPr="00EE1DBD">
        <w:t xml:space="preserve">92.3% of mentions addressed the social institutions level, which makes sense given that this level broadly includes media literacy infrastructure that is situated in adjacent and overlapping circles to what media and journalism themselves occupy. </w:t>
      </w:r>
      <w:r w:rsidR="00A768BD" w:rsidRPr="00EE1DBD">
        <w:t xml:space="preserve">Social systems (21.8%) are mentioned in all cases with at least one other </w:t>
      </w:r>
    </w:p>
    <w:p w14:paraId="34BF742C" w14:textId="77777777" w:rsidR="00342A83" w:rsidRPr="00EE1DBD" w:rsidRDefault="00342A83" w:rsidP="00342A83">
      <w:pPr>
        <w:spacing w:line="480" w:lineRule="auto"/>
        <w:ind w:firstLine="720"/>
      </w:pPr>
    </w:p>
    <w:p w14:paraId="4FAE6C30" w14:textId="588E8911" w:rsidR="00051DAD" w:rsidRPr="003A0FB1" w:rsidRDefault="00051DAD" w:rsidP="003A0FB1">
      <w:pPr>
        <w:spacing w:line="480" w:lineRule="auto"/>
        <w:rPr>
          <w:b/>
          <w:bCs/>
        </w:rPr>
      </w:pPr>
      <w:r w:rsidRPr="00EE1DBD">
        <w:rPr>
          <w:b/>
          <w:bCs/>
        </w:rPr>
        <w:t>Figure 3</w:t>
      </w:r>
    </w:p>
    <w:p w14:paraId="4503377B" w14:textId="484111DA" w:rsidR="00051DAD" w:rsidRPr="00EE1DBD" w:rsidRDefault="00051DAD" w:rsidP="003A0FB1">
      <w:pPr>
        <w:spacing w:line="480" w:lineRule="auto"/>
        <w:rPr>
          <w:i/>
          <w:iCs/>
        </w:rPr>
      </w:pPr>
      <w:r w:rsidRPr="00EE1DBD">
        <w:rPr>
          <w:i/>
          <w:iCs/>
        </w:rPr>
        <w:t xml:space="preserve">Mentions of Media </w:t>
      </w:r>
      <w:r w:rsidR="003D6982" w:rsidRPr="00EE1DBD">
        <w:rPr>
          <w:i/>
          <w:iCs/>
        </w:rPr>
        <w:t>Literacy</w:t>
      </w:r>
      <w:r w:rsidRPr="00EE1DBD">
        <w:rPr>
          <w:i/>
          <w:iCs/>
        </w:rPr>
        <w:t xml:space="preserve"> Coded for </w:t>
      </w:r>
      <w:r w:rsidR="003D6982" w:rsidRPr="00EE1DBD">
        <w:rPr>
          <w:i/>
          <w:iCs/>
        </w:rPr>
        <w:t>Hierarchy of Influences</w:t>
      </w:r>
      <w:r w:rsidRPr="00EE1DBD">
        <w:rPr>
          <w:i/>
          <w:iCs/>
        </w:rPr>
        <w:t xml:space="preserve"> Model</w:t>
      </w:r>
      <w:r w:rsidR="002B61E3" w:rsidRPr="00EE1DBD">
        <w:rPr>
          <w:i/>
          <w:iCs/>
        </w:rPr>
        <w:t xml:space="preserve"> (n=78)</w:t>
      </w:r>
    </w:p>
    <w:p w14:paraId="19AE0D38" w14:textId="78151A79" w:rsidR="003D01CF" w:rsidRDefault="003D6982" w:rsidP="00342A83">
      <w:pPr>
        <w:spacing w:line="480" w:lineRule="auto"/>
        <w:jc w:val="center"/>
      </w:pPr>
      <w:r w:rsidRPr="00EE1DBD">
        <w:rPr>
          <w:noProof/>
        </w:rPr>
        <w:drawing>
          <wp:inline distT="0" distB="0" distL="0" distR="0" wp14:anchorId="6AE56CE2" wp14:editId="08F81ABD">
            <wp:extent cx="5122333" cy="1837267"/>
            <wp:effectExtent l="0" t="0" r="8890" b="1714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CA57A3C" w14:textId="77777777" w:rsidR="00EE1DBD" w:rsidRPr="00EE1DBD" w:rsidRDefault="00EE1DBD" w:rsidP="003A0FB1">
      <w:pPr>
        <w:spacing w:line="480" w:lineRule="auto"/>
      </w:pPr>
    </w:p>
    <w:p w14:paraId="7DFD9B5C" w14:textId="0FBBB98A" w:rsidR="00D22802" w:rsidRPr="00EE1DBD" w:rsidRDefault="00A768BD" w:rsidP="003A0FB1">
      <w:pPr>
        <w:spacing w:line="480" w:lineRule="auto"/>
      </w:pPr>
      <w:r w:rsidRPr="00EE1DBD">
        <w:t>level, always social institutions, and occasionally a third level (8 of 17 times)</w:t>
      </w:r>
      <w:r w:rsidR="00342A83">
        <w:t xml:space="preserve">. </w:t>
      </w:r>
      <w:r w:rsidR="00E15230">
        <w:t xml:space="preserve">The latter </w:t>
      </w:r>
      <w:r w:rsidRPr="00EE1DBD">
        <w:t>tend</w:t>
      </w:r>
      <w:r w:rsidR="00E15230">
        <w:t xml:space="preserve">ed </w:t>
      </w:r>
      <w:r w:rsidRPr="00EE1DBD">
        <w:t>to focus on the theories behind media literacy, and the impact of low media literacy on the population at large. Organizations (25%) are mentioned together with social institutions in almost all cases (17 of 18) reflecting discussion of organizational affiliation with media literacy efforts, as with the Globe and Mail</w:t>
      </w:r>
      <w:r w:rsidR="00E15230">
        <w:t xml:space="preserve"> quote</w:t>
      </w:r>
      <w:r w:rsidRPr="00EE1DBD">
        <w:t xml:space="preserve"> above (</w:t>
      </w:r>
      <w:proofErr w:type="spellStart"/>
      <w:r w:rsidRPr="00EE1DBD">
        <w:t>Fluekiger</w:t>
      </w:r>
      <w:proofErr w:type="spellEnd"/>
      <w:r w:rsidRPr="00EE1DBD">
        <w:t xml:space="preserve">, 2018). Individuals (29.5%) followed a similar </w:t>
      </w:r>
      <w:r w:rsidR="00E15230" w:rsidRPr="00EE1DBD">
        <w:t>pattern</w:t>
      </w:r>
      <w:r w:rsidR="00E15230">
        <w:t xml:space="preserve"> </w:t>
      </w:r>
      <w:r w:rsidR="00E15230" w:rsidRPr="00EE1DBD">
        <w:t>that</w:t>
      </w:r>
      <w:r w:rsidRPr="00EE1DBD">
        <w:t xml:space="preserve"> begs further consideration in future studies</w:t>
      </w:r>
      <w:r w:rsidR="00E15230">
        <w:t xml:space="preserve">. </w:t>
      </w:r>
      <w:r w:rsidRPr="00EE1DBD">
        <w:t>4 of 23 mentions of individuals occurred on their own without overlapping codes in other levels of the hierarchy. Routines were mentioned infrequently (4.2%</w:t>
      </w:r>
      <w:r w:rsidR="00E15230" w:rsidRPr="00EE1DBD">
        <w:t>) but</w:t>
      </w:r>
      <w:r w:rsidRPr="00EE1DBD">
        <w:t xml:space="preserve"> were indirectly referenced in the subtext of articles. </w:t>
      </w:r>
      <w:r w:rsidR="00221FFC" w:rsidRPr="00EE1DBD">
        <w:t>I</w:t>
      </w:r>
      <w:r w:rsidRPr="00EE1DBD">
        <w:t>n 48.7% (38 of 78)</w:t>
      </w:r>
      <w:r w:rsidR="00E15230">
        <w:t xml:space="preserve"> of</w:t>
      </w:r>
      <w:r w:rsidRPr="00EE1DBD">
        <w:t xml:space="preserve"> mentions were coded for only one level, generally at the level of social institutions. This was</w:t>
      </w:r>
      <w:r w:rsidR="00E15230">
        <w:t xml:space="preserve"> generally</w:t>
      </w:r>
      <w:r w:rsidRPr="00EE1DBD">
        <w:t xml:space="preserve"> </w:t>
      </w:r>
      <w:r w:rsidR="00E15230">
        <w:t>the</w:t>
      </w:r>
      <w:r w:rsidRPr="00EE1DBD">
        <w:t xml:space="preserve"> result of the data collection method isolating individual sentences and stripping out some of the broader context</w:t>
      </w:r>
      <w:r w:rsidR="00E15230">
        <w:t>, rather</w:t>
      </w:r>
      <w:r w:rsidRPr="00EE1DBD">
        <w:t xml:space="preserve"> than some failure of the </w:t>
      </w:r>
      <w:proofErr w:type="spellStart"/>
      <w:r w:rsidRPr="00EE1DBD">
        <w:t>HoI</w:t>
      </w:r>
      <w:proofErr w:type="spellEnd"/>
      <w:r w:rsidRPr="00EE1DBD">
        <w:t xml:space="preserve"> model itself to explain media ecology.   </w:t>
      </w:r>
      <w:proofErr w:type="gramStart"/>
      <w:r w:rsidR="00221FFC" w:rsidRPr="00EE1DBD">
        <w:t>The majority of</w:t>
      </w:r>
      <w:proofErr w:type="gramEnd"/>
      <w:r w:rsidR="00221FFC" w:rsidRPr="00EE1DBD">
        <w:t xml:space="preserve"> cases (51.3</w:t>
      </w:r>
      <w:r w:rsidR="00E15230" w:rsidRPr="00EE1DBD">
        <w:t>%)</w:t>
      </w:r>
      <w:r w:rsidR="00221FFC" w:rsidRPr="00EE1DBD">
        <w:t xml:space="preserve"> actually support Shoemaker and Reese’s </w:t>
      </w:r>
      <w:r w:rsidR="00E15230">
        <w:t xml:space="preserve">(2014) </w:t>
      </w:r>
      <w:r w:rsidR="00221FFC" w:rsidRPr="00EE1DBD">
        <w:t xml:space="preserve">notes on the interdependent relationship of the five tiers of the </w:t>
      </w:r>
      <w:proofErr w:type="spellStart"/>
      <w:r w:rsidR="00221FFC" w:rsidRPr="00EE1DBD">
        <w:t>HoI</w:t>
      </w:r>
      <w:proofErr w:type="spellEnd"/>
      <w:r w:rsidR="00221FFC" w:rsidRPr="00EE1DBD">
        <w:t xml:space="preserve"> model, coded for at least two levels of the hierarchy (27 at 2 levels, 11 at three levels, 2 at four levels). </w:t>
      </w:r>
    </w:p>
    <w:p w14:paraId="28DAF0C9" w14:textId="6F2D434A" w:rsidR="00F43C90" w:rsidRPr="00EE1DBD" w:rsidRDefault="00A53B1B" w:rsidP="003A0FB1">
      <w:pPr>
        <w:spacing w:line="480" w:lineRule="auto"/>
        <w:jc w:val="center"/>
        <w:rPr>
          <w:b/>
          <w:bCs/>
        </w:rPr>
      </w:pPr>
      <w:r w:rsidRPr="00EE1DBD">
        <w:rPr>
          <w:b/>
          <w:bCs/>
        </w:rPr>
        <w:t>Discussion</w:t>
      </w:r>
    </w:p>
    <w:p w14:paraId="1588885F" w14:textId="70C5B444" w:rsidR="009A736E" w:rsidRPr="00EE1DBD" w:rsidRDefault="009A736E" w:rsidP="003A0FB1">
      <w:pPr>
        <w:spacing w:line="480" w:lineRule="auto"/>
        <w:ind w:firstLine="360"/>
      </w:pPr>
      <w:r w:rsidRPr="00EE1DBD">
        <w:t>A textual analysis of the professional journalist literature in the Discourses on Journalism (</w:t>
      </w:r>
      <w:proofErr w:type="spellStart"/>
      <w:r w:rsidRPr="00EE1DBD">
        <w:t>DoJo</w:t>
      </w:r>
      <w:proofErr w:type="spellEnd"/>
      <w:r w:rsidRPr="00EE1DBD">
        <w:t xml:space="preserve">) database reveals a set of clear initial </w:t>
      </w:r>
      <w:proofErr w:type="gramStart"/>
      <w:r w:rsidR="00E15230" w:rsidRPr="00EE1DBD">
        <w:t>datapoints, and</w:t>
      </w:r>
      <w:proofErr w:type="gramEnd"/>
      <w:r w:rsidRPr="00EE1DBD">
        <w:t xml:space="preserve"> indicates more that may be further extracted from larger datasets. This pilot study’s purpose was to establish a codebook and create a foothold for future larger studies, and in that regard it has been successful. The data reveals a deep skepticism of corporate involvement in media literacy efforts, either from media corporations themselves, or from outside or parent corporations using media literacy as a tool for social control. The data also points to a strong correlation between expressions of individual </w:t>
      </w:r>
      <w:r w:rsidRPr="00EE1DBD">
        <w:lastRenderedPageBreak/>
        <w:t>identity and group affiliation of journalists and the cause of pedagogy in media literacy</w:t>
      </w:r>
      <w:r w:rsidR="00E15230">
        <w:t>. This</w:t>
      </w:r>
      <w:r w:rsidRPr="00EE1DBD">
        <w:t xml:space="preserve"> </w:t>
      </w:r>
      <w:r w:rsidR="00E15230">
        <w:t>suggests</w:t>
      </w:r>
      <w:r w:rsidRPr="00EE1DBD">
        <w:t xml:space="preserve"> that journalists tend to see media literacy as related to their own work and professional obligations. </w:t>
      </w:r>
      <w:r w:rsidR="00E15230" w:rsidRPr="00EE1DBD">
        <w:t>Further</w:t>
      </w:r>
      <w:r w:rsidRPr="00EE1DBD">
        <w:t xml:space="preserve"> themes are obliquely visible </w:t>
      </w:r>
      <w:proofErr w:type="gramStart"/>
      <w:r w:rsidRPr="00EE1DBD">
        <w:t>with regard to</w:t>
      </w:r>
      <w:proofErr w:type="gramEnd"/>
      <w:r w:rsidRPr="00EE1DBD">
        <w:t xml:space="preserve"> DEI and misinformation/disinformation, but a larger dataset is required </w:t>
      </w:r>
      <w:r w:rsidR="00F84A81" w:rsidRPr="00EE1DBD">
        <w:t xml:space="preserve">for </w:t>
      </w:r>
      <w:r w:rsidR="00E15230">
        <w:t>more precise</w:t>
      </w:r>
      <w:r w:rsidR="00F84A81" w:rsidRPr="00EE1DBD">
        <w:t xml:space="preserve"> analysis. </w:t>
      </w:r>
    </w:p>
    <w:p w14:paraId="705BF9B6" w14:textId="373C0E34" w:rsidR="00F84A81" w:rsidRPr="00EE1DBD" w:rsidRDefault="00F84A81" w:rsidP="003A0FB1">
      <w:pPr>
        <w:spacing w:line="480" w:lineRule="auto"/>
        <w:ind w:firstLine="360"/>
      </w:pPr>
      <w:r w:rsidRPr="00EE1DBD">
        <w:t>Journalists tend to have a positive (if skeptical) view of media literacy. Coupled with the correlation between strong professional ties to the concept of media literacy, this suggests that journalist find media literacy and media literacy pedagogy to be valid and worthwhile. The coexisting strong correlation with skepticism suggests that the practice is not always up to par</w:t>
      </w:r>
      <w:r w:rsidR="00E15230">
        <w:t>,</w:t>
      </w:r>
      <w:r w:rsidRPr="00EE1DBD">
        <w:t xml:space="preserve"> with the potential of media literacy to improve intellectual and social outcomes for individuals and groups. More research should be done into what specific criticisms journalists have of media literacy, and how they think programs and initiatives might be improved in the future. Partnerships with non-corporate entities, or even professional organizations of journalists might yield better pedagogy outcomes than top-down tools created to promote </w:t>
      </w:r>
      <w:proofErr w:type="gramStart"/>
      <w:r w:rsidRPr="00EE1DBD">
        <w:t>particular kinds</w:t>
      </w:r>
      <w:proofErr w:type="gramEnd"/>
      <w:r w:rsidRPr="00EE1DBD">
        <w:t xml:space="preserve"> of media in the guise of </w:t>
      </w:r>
      <w:r w:rsidR="00E15230">
        <w:t>“</w:t>
      </w:r>
      <w:r w:rsidRPr="00EE1DBD">
        <w:t>objective</w:t>
      </w:r>
      <w:r w:rsidR="00E15230">
        <w:t>”</w:t>
      </w:r>
      <w:r w:rsidRPr="00EE1DBD">
        <w:t xml:space="preserve"> media literacy.</w:t>
      </w:r>
    </w:p>
    <w:p w14:paraId="2909ED23" w14:textId="57318D02" w:rsidR="00042898" w:rsidRPr="00EE1DBD" w:rsidRDefault="00F84A81" w:rsidP="003A0FB1">
      <w:pPr>
        <w:spacing w:line="480" w:lineRule="auto"/>
        <w:ind w:firstLine="360"/>
      </w:pPr>
      <w:r w:rsidRPr="00EE1DBD">
        <w:tab/>
      </w:r>
      <w:r w:rsidR="0031789D" w:rsidRPr="00EE1DBD">
        <w:t xml:space="preserve">Shoemaker and Reese’s </w:t>
      </w:r>
      <w:r w:rsidR="00E15230">
        <w:t xml:space="preserve">(2014) </w:t>
      </w:r>
      <w:r w:rsidR="0031789D" w:rsidRPr="00EE1DBD">
        <w:t xml:space="preserve">Hierarchy of Influences model </w:t>
      </w:r>
      <w:r w:rsidR="00E15230">
        <w:t xml:space="preserve">clearly </w:t>
      </w:r>
      <w:r w:rsidR="0031789D" w:rsidRPr="00EE1DBD">
        <w:t xml:space="preserve">applies to these data. Most mentions were related to several levels of the hierarchy, and I expect even more would be coded for multiple levels if the methodology expanded to include paragraphs in which “media literacy” was mentioned, rather than just sentences. That said, the small subset of mentions of the individual level that were not associated with other levels does suggest some feelings of isolation among journalists, or perhaps powerlessness to </w:t>
      </w:r>
      <w:r w:rsidR="00E15230">
        <w:t>affect</w:t>
      </w:r>
      <w:r w:rsidR="0031789D" w:rsidRPr="00EE1DBD">
        <w:t xml:space="preserve"> change in the </w:t>
      </w:r>
      <w:r w:rsidR="00042898" w:rsidRPr="00EE1DBD">
        <w:t xml:space="preserve">face of governing routines, lack of organizational transparency, powerful social institutions exerting influence, and broader cultural and social phenomenon.  </w:t>
      </w:r>
    </w:p>
    <w:p w14:paraId="539E34AB" w14:textId="1A4AFB09" w:rsidR="00042898" w:rsidRPr="003A0FB1" w:rsidRDefault="00042898" w:rsidP="003A0FB1">
      <w:pPr>
        <w:spacing w:line="480" w:lineRule="auto"/>
        <w:ind w:firstLine="360"/>
      </w:pPr>
      <w:r w:rsidRPr="00EE1DBD">
        <w:lastRenderedPageBreak/>
        <w:t>These articles were chosen from a particular time in history for a very specific reason. As noted, Trump’s presidency presented real dangers to not just democracy, but the possibilities for media effectiveness and trust in media. During this time, media literacy made concessions for the sake of expediency, sometimes deferring to corporate media literacy tools. There is a clear differentiation</w:t>
      </w:r>
      <w:r w:rsidR="00F43C90" w:rsidRPr="00EE1DBD">
        <w:t xml:space="preserve"> between corporate media literacy and critical media literacy.</w:t>
      </w:r>
      <w:r w:rsidRPr="00EE1DBD">
        <w:t xml:space="preserve"> Critical media literacy is derived from studies that predate the present set of articles by a decade or more (Kellner &amp; Share, 2007). In these data, corporate media literacy is the subject of considerable criticism from professional journalists and journalism students. Questions therefore arise: </w:t>
      </w:r>
      <w:r w:rsidR="00F43C90" w:rsidRPr="00EE1DBD">
        <w:t>Who makes the media literacy tool, and are the precepts legitimate or tailored to promote a corporate agenda?</w:t>
      </w:r>
      <w:r w:rsidRPr="00EE1DBD">
        <w:t xml:space="preserve"> Does corporate media literacy exclude critical questions? Is it the responsibility of media organizations to provide media literacy guidance in a </w:t>
      </w:r>
      <w:r w:rsidR="00E15230" w:rsidRPr="00EE1DBD">
        <w:t>non-self-serving</w:t>
      </w:r>
      <w:r w:rsidRPr="00EE1DBD">
        <w:t xml:space="preserve"> way</w:t>
      </w:r>
      <w:r w:rsidR="00E15230">
        <w:t>?</w:t>
      </w:r>
      <w:r w:rsidRPr="00EE1DBD">
        <w:t xml:space="preserve"> </w:t>
      </w:r>
      <w:r w:rsidR="00E15230">
        <w:t>S</w:t>
      </w:r>
      <w:r w:rsidRPr="00EE1DBD">
        <w:t>hould this be the responsibility of non-profits exclusively? These</w:t>
      </w:r>
      <w:r w:rsidR="00E15230">
        <w:t xml:space="preserve"> questions</w:t>
      </w:r>
      <w:r w:rsidRPr="00EE1DBD">
        <w:t xml:space="preserve"> all </w:t>
      </w:r>
      <w:r w:rsidR="00E15230">
        <w:t>demand</w:t>
      </w:r>
      <w:r w:rsidRPr="00EE1DBD">
        <w:t xml:space="preserve"> further study. </w:t>
      </w:r>
    </w:p>
    <w:p w14:paraId="02C603AC" w14:textId="36274BBD" w:rsidR="00843854" w:rsidRPr="003A0FB1" w:rsidRDefault="00042898" w:rsidP="003A0FB1">
      <w:pPr>
        <w:spacing w:line="480" w:lineRule="auto"/>
        <w:jc w:val="center"/>
        <w:rPr>
          <w:b/>
          <w:bCs/>
        </w:rPr>
      </w:pPr>
      <w:r w:rsidRPr="00EE1DBD">
        <w:rPr>
          <w:b/>
          <w:bCs/>
        </w:rPr>
        <w:t>Limitations</w:t>
      </w:r>
    </w:p>
    <w:p w14:paraId="0CAA7DB5" w14:textId="5D9C557F" w:rsidR="007436C3" w:rsidRPr="00EE1DBD" w:rsidRDefault="006D247C" w:rsidP="003A0FB1">
      <w:pPr>
        <w:spacing w:line="480" w:lineRule="auto"/>
        <w:ind w:firstLine="360"/>
      </w:pPr>
      <w:bookmarkStart w:id="2" w:name="OLE_LINK5"/>
      <w:bookmarkStart w:id="3" w:name="OLE_LINK6"/>
      <w:r w:rsidRPr="00EE1DBD">
        <w:t xml:space="preserve">The set of results obtained for this pilot study </w:t>
      </w:r>
      <w:r w:rsidR="00E15230">
        <w:t xml:space="preserve">was small: </w:t>
      </w:r>
      <w:r w:rsidRPr="00EE1DBD">
        <w:t xml:space="preserve">100 unique articles. These were technically obtained from a random sample of a purposive sample (with “media literacy” in the text). A random sample of all literature in the </w:t>
      </w:r>
      <w:proofErr w:type="spellStart"/>
      <w:r w:rsidRPr="00EE1DBD">
        <w:t>DoJo</w:t>
      </w:r>
      <w:proofErr w:type="spellEnd"/>
      <w:r w:rsidRPr="00EE1DBD">
        <w:t xml:space="preserve"> database might yield a better understanding of how often media literacy is discussed, or how important it is to broader context of media. Conversely, there are other terms for media literacy and terms related to discussion of media literacy that were not included in this </w:t>
      </w:r>
      <w:proofErr w:type="gramStart"/>
      <w:r w:rsidRPr="00EE1DBD">
        <w:t>study</w:t>
      </w:r>
      <w:r w:rsidR="00E15230">
        <w:t>,</w:t>
      </w:r>
      <w:r w:rsidRPr="00EE1DBD">
        <w:t xml:space="preserve"> but</w:t>
      </w:r>
      <w:proofErr w:type="gramEnd"/>
      <w:r w:rsidRPr="00EE1DBD">
        <w:t xml:space="preserve"> could be included in future datasets</w:t>
      </w:r>
      <w:r w:rsidR="00E15230">
        <w:t>. F</w:t>
      </w:r>
      <w:r w:rsidRPr="00EE1DBD">
        <w:t xml:space="preserve">or </w:t>
      </w:r>
      <w:proofErr w:type="gramStart"/>
      <w:r w:rsidRPr="00EE1DBD">
        <w:t>example :</w:t>
      </w:r>
      <w:proofErr w:type="gramEnd"/>
      <w:r w:rsidRPr="00EE1DBD">
        <w:t xml:space="preserve"> “</w:t>
      </w:r>
      <w:r w:rsidR="007436C3" w:rsidRPr="00EE1DBD">
        <w:t>news literacy</w:t>
      </w:r>
      <w:r w:rsidRPr="00EE1DBD">
        <w:t>”,</w:t>
      </w:r>
      <w:r w:rsidR="00EC1956" w:rsidRPr="00EE1DBD">
        <w:t xml:space="preserve"> </w:t>
      </w:r>
      <w:r w:rsidRPr="00EE1DBD">
        <w:t>“</w:t>
      </w:r>
      <w:r w:rsidR="00EC1956" w:rsidRPr="00EE1DBD">
        <w:t>critical news consumption</w:t>
      </w:r>
      <w:r w:rsidRPr="00EE1DBD">
        <w:t>”</w:t>
      </w:r>
      <w:r w:rsidR="00EC1956" w:rsidRPr="00EE1DBD">
        <w:t>, and</w:t>
      </w:r>
      <w:r w:rsidRPr="00EE1DBD">
        <w:t xml:space="preserve"> “fake news”</w:t>
      </w:r>
      <w:r w:rsidR="00E15230">
        <w:t xml:space="preserve"> would be useful search terms in future research</w:t>
      </w:r>
      <w:r w:rsidRPr="00EE1DBD">
        <w:t xml:space="preserve">. </w:t>
      </w:r>
      <w:r w:rsidR="00EC1956" w:rsidRPr="00EE1DBD">
        <w:t xml:space="preserve"> </w:t>
      </w:r>
      <w:r w:rsidRPr="00EE1DBD">
        <w:t xml:space="preserve">These additional terms could be added to both the </w:t>
      </w:r>
      <w:proofErr w:type="spellStart"/>
      <w:r w:rsidRPr="00EE1DBD">
        <w:t>DoJo</w:t>
      </w:r>
      <w:proofErr w:type="spellEnd"/>
      <w:r w:rsidRPr="00EE1DBD">
        <w:t xml:space="preserve"> search and the NVivo search within the results.</w:t>
      </w:r>
    </w:p>
    <w:p w14:paraId="5490B51D" w14:textId="5B6D84C2" w:rsidR="00963295" w:rsidRPr="003A0FB1" w:rsidRDefault="006D247C" w:rsidP="003A0FB1">
      <w:pPr>
        <w:spacing w:line="480" w:lineRule="auto"/>
        <w:ind w:firstLine="720"/>
      </w:pPr>
      <w:r w:rsidRPr="00EE1DBD">
        <w:lastRenderedPageBreak/>
        <w:t xml:space="preserve">The majority (69%) of the articles from the random sample were excluded by NVivo. This </w:t>
      </w:r>
      <w:r w:rsidR="00E15230">
        <w:t xml:space="preserve">occurred </w:t>
      </w:r>
      <w:proofErr w:type="gramStart"/>
      <w:r w:rsidR="00E15230">
        <w:t>as a result of</w:t>
      </w:r>
      <w:proofErr w:type="gramEnd"/>
      <w:r w:rsidRPr="00EE1DBD">
        <w:t xml:space="preserve"> when </w:t>
      </w:r>
      <w:proofErr w:type="spellStart"/>
      <w:r w:rsidRPr="00EE1DBD">
        <w:t>Ncapture</w:t>
      </w:r>
      <w:proofErr w:type="spellEnd"/>
      <w:r w:rsidRPr="00EE1DBD">
        <w:t xml:space="preserve"> </w:t>
      </w:r>
      <w:r w:rsidR="00E15230">
        <w:t>converted</w:t>
      </w:r>
      <w:r w:rsidRPr="00EE1DBD">
        <w:t xml:space="preserve"> the articles to pdfs</w:t>
      </w:r>
      <w:r w:rsidR="00E15230">
        <w:t xml:space="preserve">. In doing </w:t>
      </w:r>
      <w:proofErr w:type="gramStart"/>
      <w:r w:rsidR="00E15230">
        <w:t xml:space="preserve">so, </w:t>
      </w:r>
      <w:r w:rsidRPr="00EE1DBD">
        <w:t xml:space="preserve"> it</w:t>
      </w:r>
      <w:proofErr w:type="gramEnd"/>
      <w:r w:rsidR="00E15230">
        <w:t xml:space="preserve"> took</w:t>
      </w:r>
      <w:r w:rsidRPr="00EE1DBD">
        <w:t xml:space="preserve"> the text of the article, but </w:t>
      </w:r>
      <w:r w:rsidR="00E15230">
        <w:t>did</w:t>
      </w:r>
      <w:r w:rsidRPr="00EE1DBD">
        <w:t xml:space="preserve"> not capture headlines that are embedded in a graphic or in a non-rtf format. This means that if the headline of an article had the words “media literacy” in it, but the text of the article did not mention media literacy directly, the article was excluded from the NVivo/</w:t>
      </w:r>
      <w:proofErr w:type="spellStart"/>
      <w:r w:rsidRPr="00EE1DBD">
        <w:t>Ncapture</w:t>
      </w:r>
      <w:proofErr w:type="spellEnd"/>
      <w:r w:rsidRPr="00EE1DBD">
        <w:t xml:space="preserve"> results. </w:t>
      </w:r>
      <w:proofErr w:type="spellStart"/>
      <w:r w:rsidRPr="00EE1DBD">
        <w:t>DoJo</w:t>
      </w:r>
      <w:proofErr w:type="spellEnd"/>
      <w:r w:rsidRPr="00EE1DBD">
        <w:t xml:space="preserve"> searches returned results for “media literacy” that </w:t>
      </w:r>
      <w:proofErr w:type="spellStart"/>
      <w:r w:rsidRPr="00EE1DBD">
        <w:t>Ncapture</w:t>
      </w:r>
      <w:proofErr w:type="spellEnd"/>
      <w:r w:rsidRPr="00EE1DBD">
        <w:t xml:space="preserve">/NVivo excluded. Though this was an unintended event, it might serve as a mitigation to editorial control for reporter content. If for example the reporter wrote an article with no mention of media literacy, and an editor of the publication chose to rewrite the title of the article to include media literacy to conform to a </w:t>
      </w:r>
      <w:proofErr w:type="gramStart"/>
      <w:r w:rsidRPr="00EE1DBD">
        <w:t>theme,  or</w:t>
      </w:r>
      <w:proofErr w:type="gramEnd"/>
      <w:r w:rsidRPr="00EE1DBD">
        <w:t xml:space="preserve"> address an issue that emerged after the article was written, the aforementioned article would be returned in Dojo, but not be returned in the dataset that </w:t>
      </w:r>
      <w:proofErr w:type="spellStart"/>
      <w:r w:rsidRPr="00EE1DBD">
        <w:t>Ncapture</w:t>
      </w:r>
      <w:proofErr w:type="spellEnd"/>
      <w:r w:rsidRPr="00EE1DBD">
        <w:t xml:space="preserve"> and NVivo collectively pull. </w:t>
      </w:r>
      <w:r w:rsidR="00E77383" w:rsidRPr="00EE1DBD">
        <w:t>This</w:t>
      </w:r>
      <w:r w:rsidRPr="00EE1DBD">
        <w:t xml:space="preserve"> was a common occurrence, so it is possible there are concurrent or alternative explanations for this set of results. </w:t>
      </w:r>
      <w:r w:rsidR="00E77383" w:rsidRPr="00EE1DBD">
        <w:t>Additionally,</w:t>
      </w:r>
      <w:r w:rsidR="00BE7A3C" w:rsidRPr="00EE1DBD">
        <w:t xml:space="preserve"> </w:t>
      </w:r>
      <w:r w:rsidR="00E15230">
        <w:t xml:space="preserve">one specific </w:t>
      </w:r>
      <w:r w:rsidR="00BE7A3C" w:rsidRPr="00EE1DBD">
        <w:t xml:space="preserve">article had 37 mentions </w:t>
      </w:r>
      <w:proofErr w:type="gramStart"/>
      <w:r w:rsidRPr="00EE1DBD">
        <w:t xml:space="preserve">returned  </w:t>
      </w:r>
      <w:r w:rsidR="00E15230">
        <w:t>for</w:t>
      </w:r>
      <w:proofErr w:type="gramEnd"/>
      <w:r w:rsidR="00E15230">
        <w:t xml:space="preserve"> the </w:t>
      </w:r>
      <w:r w:rsidRPr="00EE1DBD">
        <w:t xml:space="preserve"> </w:t>
      </w:r>
      <w:r w:rsidR="00BE7A3C" w:rsidRPr="00EE1DBD">
        <w:t>media literacy</w:t>
      </w:r>
      <w:r w:rsidR="00E15230">
        <w:t xml:space="preserve"> search in NVivo. That article discussed a program called Media Literacy Now, which </w:t>
      </w:r>
      <w:r w:rsidRPr="00EE1DBD">
        <w:t>contained the words “media literacy”</w:t>
      </w:r>
      <w:r w:rsidR="00E15230">
        <w:t xml:space="preserve"> (of course)</w:t>
      </w:r>
      <w:r w:rsidRPr="00EE1DBD">
        <w:t xml:space="preserve"> and so this article is over-represented in the </w:t>
      </w:r>
      <w:proofErr w:type="gramStart"/>
      <w:r w:rsidRPr="00EE1DBD">
        <w:t>final results</w:t>
      </w:r>
      <w:proofErr w:type="gramEnd"/>
      <w:r w:rsidRPr="00EE1DBD">
        <w:t xml:space="preserve">. </w:t>
      </w:r>
      <w:r w:rsidR="00BE7A3C" w:rsidRPr="00EE1DBD">
        <w:t xml:space="preserve"> </w:t>
      </w:r>
      <w:bookmarkEnd w:id="2"/>
      <w:bookmarkEnd w:id="3"/>
      <w:r w:rsidR="00963295" w:rsidRPr="00EE1DBD">
        <w:t>For future studies, more coders and an established test of coder inter</w:t>
      </w:r>
      <w:r w:rsidR="00E15230">
        <w:t>-</w:t>
      </w:r>
      <w:r w:rsidR="00963295" w:rsidRPr="00EE1DBD">
        <w:t>reliability</w:t>
      </w:r>
      <w:r w:rsidR="00842F3B">
        <w:t xml:space="preserve"> would be useful,</w:t>
      </w:r>
      <w:r w:rsidR="00963295" w:rsidRPr="00EE1DBD">
        <w:t xml:space="preserve"> in addition to a larger dataset </w:t>
      </w:r>
      <w:r w:rsidR="00842F3B">
        <w:t xml:space="preserve">that </w:t>
      </w:r>
      <w:r w:rsidR="00963295" w:rsidRPr="00EE1DBD">
        <w:t xml:space="preserve">would mitigate most of the </w:t>
      </w:r>
      <w:proofErr w:type="gramStart"/>
      <w:r w:rsidR="00963295" w:rsidRPr="00EE1DBD">
        <w:t>aforementioned limitations</w:t>
      </w:r>
      <w:proofErr w:type="gramEnd"/>
      <w:r w:rsidR="00963295" w:rsidRPr="00EE1DBD">
        <w:t>.</w:t>
      </w:r>
    </w:p>
    <w:p w14:paraId="343FE022" w14:textId="11864CCD" w:rsidR="001F5F3A" w:rsidRPr="003A0FB1" w:rsidRDefault="00A53B1B" w:rsidP="001F5F3A">
      <w:pPr>
        <w:spacing w:line="480" w:lineRule="auto"/>
        <w:jc w:val="center"/>
        <w:rPr>
          <w:b/>
          <w:bCs/>
        </w:rPr>
      </w:pPr>
      <w:r w:rsidRPr="00EE1DBD">
        <w:rPr>
          <w:b/>
          <w:bCs/>
        </w:rPr>
        <w:t>Conclusion</w:t>
      </w:r>
    </w:p>
    <w:p w14:paraId="3684D8A1" w14:textId="31AC1A71" w:rsidR="008C563F" w:rsidRPr="00EE1DBD" w:rsidRDefault="005A2DC0" w:rsidP="003A0FB1">
      <w:pPr>
        <w:spacing w:line="480" w:lineRule="auto"/>
      </w:pPr>
      <w:r w:rsidRPr="00EE1DBD">
        <w:tab/>
        <w:t xml:space="preserve">Trump’s reign brought many </w:t>
      </w:r>
      <w:r w:rsidR="00842F3B">
        <w:t>problems</w:t>
      </w:r>
      <w:r w:rsidRPr="00EE1DBD">
        <w:t xml:space="preserve"> in</w:t>
      </w:r>
      <w:r w:rsidR="00842F3B">
        <w:t xml:space="preserve"> media ecology </w:t>
      </w:r>
      <w:r w:rsidRPr="00EE1DBD">
        <w:t xml:space="preserve">to the forefront, most clearly observable in his contentious relationship with the news media. This study examined journalists’ professional literature from June 16, 2015- January 19, 2021 </w:t>
      </w:r>
      <w:proofErr w:type="gramStart"/>
      <w:r w:rsidRPr="00EE1DBD">
        <w:t>in an effort to</w:t>
      </w:r>
      <w:proofErr w:type="gramEnd"/>
      <w:r w:rsidRPr="00EE1DBD">
        <w:t xml:space="preserve"> discern themes in journalists</w:t>
      </w:r>
      <w:r w:rsidR="00842F3B">
        <w:t>’</w:t>
      </w:r>
      <w:r w:rsidRPr="00EE1DBD">
        <w:t xml:space="preserve"> perceptions</w:t>
      </w:r>
      <w:r w:rsidR="00842F3B">
        <w:t xml:space="preserve"> of media literacy</w:t>
      </w:r>
      <w:r w:rsidRPr="00EE1DBD">
        <w:t xml:space="preserve">, the orientation (either positive or negative) of those </w:t>
      </w:r>
      <w:r w:rsidRPr="00EE1DBD">
        <w:lastRenderedPageBreak/>
        <w:t xml:space="preserve">perceptions, and to map them to Shoemaker and Reese’s </w:t>
      </w:r>
      <w:proofErr w:type="spellStart"/>
      <w:r w:rsidRPr="00EE1DBD">
        <w:t>HoI</w:t>
      </w:r>
      <w:proofErr w:type="spellEnd"/>
      <w:r w:rsidRPr="00EE1DBD">
        <w:t xml:space="preserve"> model (2014). Results from the data in this pilot study allow me to conclude that there is a clear trend in journalists’ skepticism for media literacy coupled with overall optimism about the utility of the subject to both journalists and their audiences. Furthermore, there are clear overlaps in how journalists see themselves </w:t>
      </w:r>
      <w:r w:rsidR="00842F3B">
        <w:t>relative to</w:t>
      </w:r>
      <w:r w:rsidRPr="00EE1DBD">
        <w:t xml:space="preserve"> media literacy as a professional obligation, and the efficacy of pedagogy in media literacy</w:t>
      </w:r>
      <w:r w:rsidR="00842F3B">
        <w:t>. Both</w:t>
      </w:r>
      <w:r w:rsidRPr="00EE1DBD">
        <w:t xml:space="preserve"> point to increased involvement of practicing journalists in creating and promoting tools for critical media literacy. Journalists are skeptical of corporate media literacy toolkits for </w:t>
      </w:r>
      <w:proofErr w:type="gramStart"/>
      <w:r w:rsidRPr="00EE1DBD">
        <w:t>a number of</w:t>
      </w:r>
      <w:proofErr w:type="gramEnd"/>
      <w:r w:rsidRPr="00EE1DBD">
        <w:t xml:space="preserve"> </w:t>
      </w:r>
      <w:r w:rsidR="00842F3B" w:rsidRPr="00EE1DBD">
        <w:t>reasons and</w:t>
      </w:r>
      <w:r w:rsidRPr="00EE1DBD">
        <w:t xml:space="preserve"> seem to prefer programs and tools that promote a more organizationally agnostic method for pedagogy</w:t>
      </w:r>
      <w:r w:rsidR="00842F3B">
        <w:t xml:space="preserve"> than one centered on promoting a particular organization</w:t>
      </w:r>
      <w:r w:rsidRPr="00EE1DBD">
        <w:t xml:space="preserve">. Using the codebook created from these results, a future study with a </w:t>
      </w:r>
      <w:r w:rsidR="00842F3B">
        <w:t>larger</w:t>
      </w:r>
      <w:r w:rsidRPr="00EE1DBD">
        <w:t xml:space="preserve"> sample size is planned. It will include both more samples </w:t>
      </w:r>
      <w:r w:rsidR="00842F3B">
        <w:t>from a search for</w:t>
      </w:r>
      <w:r w:rsidRPr="00EE1DBD">
        <w:t xml:space="preserve"> media literacy and samples with additional synonyms and related topics. I recommend that researchers undertake more in-depth qualitative efforts, long-form interviews, and </w:t>
      </w:r>
      <w:r w:rsidR="00A15F51" w:rsidRPr="00EE1DBD">
        <w:t xml:space="preserve">even phenomenological studies of the process of applying media literacy skills or related trends. </w:t>
      </w:r>
    </w:p>
    <w:p w14:paraId="320BB5E4" w14:textId="16C85C6C" w:rsidR="003F123D" w:rsidRPr="003A0FB1" w:rsidRDefault="003F123D" w:rsidP="003A0FB1">
      <w:pPr>
        <w:spacing w:line="480" w:lineRule="auto"/>
        <w:jc w:val="center"/>
        <w:rPr>
          <w:b/>
          <w:bCs/>
        </w:rPr>
      </w:pPr>
      <w:r w:rsidRPr="00EE1DBD">
        <w:rPr>
          <w:b/>
          <w:bCs/>
        </w:rPr>
        <w:t>Acknowledgements</w:t>
      </w:r>
    </w:p>
    <w:p w14:paraId="39D7F726" w14:textId="5AFA33E5" w:rsidR="003F123D" w:rsidRPr="00EE1DBD" w:rsidRDefault="003F123D" w:rsidP="003A0FB1">
      <w:pPr>
        <w:spacing w:line="480" w:lineRule="auto"/>
      </w:pPr>
      <w:bookmarkStart w:id="4" w:name="OLE_LINK3"/>
      <w:bookmarkStart w:id="5" w:name="OLE_LINK4"/>
      <w:r w:rsidRPr="00EE1DBD">
        <w:rPr>
          <w:color w:val="000000"/>
          <w:shd w:val="clear" w:color="auto" w:fill="FFFFFF"/>
        </w:rPr>
        <w:t xml:space="preserve">The Discourses of Journalism database was developed by </w:t>
      </w:r>
      <w:proofErr w:type="spellStart"/>
      <w:r w:rsidRPr="00EE1DBD">
        <w:rPr>
          <w:color w:val="000000"/>
          <w:shd w:val="clear" w:color="auto" w:fill="FFFFFF"/>
        </w:rPr>
        <w:t>Hekademeia</w:t>
      </w:r>
      <w:proofErr w:type="spellEnd"/>
      <w:r w:rsidRPr="00EE1DBD">
        <w:rPr>
          <w:color w:val="000000"/>
          <w:shd w:val="clear" w:color="auto" w:fill="FFFFFF"/>
        </w:rPr>
        <w:t xml:space="preserve"> with funding from the Donald W. Reynolds Journalism Institute at the Missouri School of Journalism and from the Association for Education in Journalism and Mass Communication.</w:t>
      </w:r>
    </w:p>
    <w:bookmarkEnd w:id="4"/>
    <w:bookmarkEnd w:id="5"/>
    <w:p w14:paraId="4B4A2456" w14:textId="77777777" w:rsidR="003A0FB1" w:rsidRPr="00EE1DBD" w:rsidRDefault="003A0FB1" w:rsidP="003A0FB1">
      <w:pPr>
        <w:spacing w:line="480" w:lineRule="auto"/>
      </w:pPr>
    </w:p>
    <w:p w14:paraId="50C44654" w14:textId="77777777" w:rsidR="008948EF" w:rsidRDefault="008948EF" w:rsidP="003A0FB1">
      <w:pPr>
        <w:spacing w:line="480" w:lineRule="auto"/>
        <w:jc w:val="center"/>
        <w:rPr>
          <w:b/>
          <w:bCs/>
        </w:rPr>
      </w:pPr>
    </w:p>
    <w:p w14:paraId="47286A91" w14:textId="77777777" w:rsidR="008948EF" w:rsidRDefault="008948EF" w:rsidP="003A0FB1">
      <w:pPr>
        <w:spacing w:line="480" w:lineRule="auto"/>
        <w:jc w:val="center"/>
        <w:rPr>
          <w:b/>
          <w:bCs/>
        </w:rPr>
      </w:pPr>
    </w:p>
    <w:p w14:paraId="611ED4B9" w14:textId="77777777" w:rsidR="008948EF" w:rsidRDefault="008948EF" w:rsidP="003A0FB1">
      <w:pPr>
        <w:spacing w:line="480" w:lineRule="auto"/>
        <w:jc w:val="center"/>
        <w:rPr>
          <w:b/>
          <w:bCs/>
        </w:rPr>
      </w:pPr>
    </w:p>
    <w:p w14:paraId="4409B485" w14:textId="77777777" w:rsidR="008948EF" w:rsidRDefault="008948EF" w:rsidP="00842F3B">
      <w:pPr>
        <w:spacing w:line="480" w:lineRule="auto"/>
        <w:rPr>
          <w:b/>
          <w:bCs/>
        </w:rPr>
      </w:pPr>
    </w:p>
    <w:p w14:paraId="6AF241D6" w14:textId="3425581A" w:rsidR="00B748E4" w:rsidRPr="008948EF" w:rsidRDefault="00A53B1B" w:rsidP="008948EF">
      <w:pPr>
        <w:spacing w:line="480" w:lineRule="auto"/>
        <w:jc w:val="center"/>
        <w:rPr>
          <w:b/>
          <w:bCs/>
        </w:rPr>
      </w:pPr>
      <w:r w:rsidRPr="00EE1DBD">
        <w:rPr>
          <w:b/>
          <w:bCs/>
        </w:rPr>
        <w:lastRenderedPageBreak/>
        <w:t>References</w:t>
      </w:r>
    </w:p>
    <w:p w14:paraId="7829A1BF" w14:textId="77777777" w:rsidR="008C563F" w:rsidRPr="00EE1DBD" w:rsidRDefault="00B748E4" w:rsidP="003A0FB1">
      <w:pPr>
        <w:spacing w:line="480" w:lineRule="auto"/>
        <w:ind w:hanging="480"/>
        <w:rPr>
          <w:rStyle w:val="Hyperlink"/>
        </w:rPr>
      </w:pPr>
      <w:r w:rsidRPr="00EE1DBD">
        <w:t xml:space="preserve">Chang, Ailsa. (2021, January 8). </w:t>
      </w:r>
      <w:r w:rsidRPr="00EE1DBD">
        <w:rPr>
          <w:i/>
          <w:iCs/>
        </w:rPr>
        <w:t xml:space="preserve">Journalists’ Views </w:t>
      </w:r>
      <w:proofErr w:type="gramStart"/>
      <w:r w:rsidRPr="00EE1DBD">
        <w:rPr>
          <w:i/>
          <w:iCs/>
        </w:rPr>
        <w:t>Of</w:t>
      </w:r>
      <w:proofErr w:type="gramEnd"/>
      <w:r w:rsidRPr="00EE1DBD">
        <w:rPr>
          <w:i/>
          <w:iCs/>
        </w:rPr>
        <w:t xml:space="preserve"> The Pro-Trump Riot On Capitol Hill</w:t>
      </w:r>
      <w:r w:rsidRPr="00EE1DBD">
        <w:t xml:space="preserve">. NPR. </w:t>
      </w:r>
      <w:hyperlink r:id="rId11" w:history="1">
        <w:r w:rsidRPr="00EE1DBD">
          <w:rPr>
            <w:rStyle w:val="Hyperlink"/>
          </w:rPr>
          <w:t>https://www.npr.org/2021/01/08/954994440/journalists-views-of-the-pro-trump-riot-on-capitol-hill</w:t>
        </w:r>
      </w:hyperlink>
    </w:p>
    <w:p w14:paraId="092970D0" w14:textId="77777777" w:rsidR="00A9483C" w:rsidRPr="00EE1DBD" w:rsidRDefault="008C563F" w:rsidP="003A0FB1">
      <w:pPr>
        <w:spacing w:line="480" w:lineRule="auto"/>
        <w:ind w:hanging="480"/>
      </w:pPr>
      <w:r w:rsidRPr="00EE1DBD">
        <w:t xml:space="preserve">Church, S. P., Dunn, M., &amp; </w:t>
      </w:r>
      <w:proofErr w:type="spellStart"/>
      <w:r w:rsidRPr="00EE1DBD">
        <w:t>Prokopy</w:t>
      </w:r>
      <w:proofErr w:type="spellEnd"/>
      <w:r w:rsidRPr="00EE1DBD">
        <w:t xml:space="preserve">, L. S. (2019). </w:t>
      </w:r>
      <w:r w:rsidRPr="00EE1DBD">
        <w:rPr>
          <w:i/>
          <w:iCs/>
        </w:rPr>
        <w:t>Benefits to Qualitative Data Quality with Multiple Coders: Two Case Studies in Multi-coder Data Analysis</w:t>
      </w:r>
      <w:r w:rsidRPr="00EE1DBD">
        <w:t xml:space="preserve">. 1-16. </w:t>
      </w:r>
      <w:hyperlink r:id="rId12" w:history="1">
        <w:r w:rsidR="00A9483C" w:rsidRPr="00EE1DBD">
          <w:rPr>
            <w:rStyle w:val="Hyperlink"/>
          </w:rPr>
          <w:t>https://egrove.olemiss.edu/jrss/vol34/iss1/2</w:t>
        </w:r>
      </w:hyperlink>
    </w:p>
    <w:p w14:paraId="4B10396F" w14:textId="15D9890C" w:rsidR="00A9483C" w:rsidRPr="00EE1DBD" w:rsidRDefault="00A9483C" w:rsidP="003A0FB1">
      <w:pPr>
        <w:spacing w:line="480" w:lineRule="auto"/>
        <w:ind w:hanging="480"/>
      </w:pPr>
      <w:r w:rsidRPr="00EE1DBD">
        <w:t xml:space="preserve">Clark, L.S. (2013). Cultivating the media activist: How critical media </w:t>
      </w:r>
      <w:proofErr w:type="spellStart"/>
      <w:r w:rsidRPr="00EE1DBD">
        <w:t>litracy</w:t>
      </w:r>
      <w:proofErr w:type="spellEnd"/>
      <w:r w:rsidRPr="00EE1DBD">
        <w:t xml:space="preserve"> and critical service learning can reform journalism education. </w:t>
      </w:r>
      <w:r w:rsidRPr="00EE1DBD">
        <w:rPr>
          <w:i/>
          <w:iCs/>
        </w:rPr>
        <w:t>Journalism 14 (7)</w:t>
      </w:r>
      <w:r w:rsidRPr="00EE1DBD">
        <w:t xml:space="preserve">, 885-903. </w:t>
      </w:r>
      <w:hyperlink r:id="rId13" w:history="1">
        <w:r w:rsidRPr="00EE1DBD">
          <w:rPr>
            <w:rStyle w:val="Hyperlink"/>
            <w:color w:val="006ACC"/>
          </w:rPr>
          <w:t>https://doi.org/10.1177/1464884913478361</w:t>
        </w:r>
      </w:hyperlink>
    </w:p>
    <w:p w14:paraId="3E221CD9" w14:textId="516BCFDE" w:rsidR="00C301DF" w:rsidRPr="00EE1DBD" w:rsidRDefault="00C301DF" w:rsidP="003A0FB1">
      <w:pPr>
        <w:spacing w:line="480" w:lineRule="auto"/>
        <w:ind w:hanging="480"/>
      </w:pPr>
      <w:r w:rsidRPr="00EE1DBD">
        <w:t xml:space="preserve">Corbin, Juliet, and Anslem Strauss. (2015). </w:t>
      </w:r>
      <w:r w:rsidRPr="00EE1DBD">
        <w:rPr>
          <w:i/>
          <w:iCs/>
        </w:rPr>
        <w:t>Basics of Qualitative Research: Techniques and Procedures for Developing Grounded Theory</w:t>
      </w:r>
      <w:r w:rsidRPr="00EE1DBD">
        <w:t xml:space="preserve"> (4th ed.)</w:t>
      </w:r>
      <w:r w:rsidRPr="00EE1DBD">
        <w:rPr>
          <w:i/>
          <w:iCs/>
        </w:rPr>
        <w:t xml:space="preserve">. </w:t>
      </w:r>
      <w:r w:rsidRPr="00EE1DBD">
        <w:t>Los Angeles: Sage.</w:t>
      </w:r>
    </w:p>
    <w:p w14:paraId="27741884" w14:textId="2BDD3FA5" w:rsidR="0098149C" w:rsidRPr="00EE1DBD" w:rsidRDefault="0098149C" w:rsidP="003A0FB1">
      <w:pPr>
        <w:spacing w:line="480" w:lineRule="auto"/>
        <w:ind w:hanging="480"/>
      </w:pPr>
      <w:proofErr w:type="spellStart"/>
      <w:r w:rsidRPr="00EE1DBD">
        <w:t>Flueckiger</w:t>
      </w:r>
      <w:proofErr w:type="spellEnd"/>
      <w:r w:rsidRPr="00EE1DBD">
        <w:t xml:space="preserve">, Simone. (2018, August 1). </w:t>
      </w:r>
      <w:r w:rsidRPr="00EE1DBD">
        <w:rPr>
          <w:i/>
          <w:iCs/>
        </w:rPr>
        <w:t xml:space="preserve">People with media literacy training more likely to verify information online, study says. </w:t>
      </w:r>
      <w:r w:rsidRPr="00EE1DBD">
        <w:t xml:space="preserve">WAN-IFRA. </w:t>
      </w:r>
      <w:hyperlink r:id="rId14" w:history="1">
        <w:r w:rsidRPr="00EE1DBD">
          <w:rPr>
            <w:rStyle w:val="Hyperlink"/>
          </w:rPr>
          <w:t>https://wan-ifra.org/2018/08/people-with-media-literacy-training-more-likely-to-verify-information-online-study-says/</w:t>
        </w:r>
      </w:hyperlink>
    </w:p>
    <w:p w14:paraId="260E4AA2" w14:textId="49A1D9FB" w:rsidR="00B748E4" w:rsidRPr="00EE1DBD" w:rsidRDefault="00B748E4" w:rsidP="003A0FB1">
      <w:pPr>
        <w:spacing w:line="480" w:lineRule="auto"/>
        <w:ind w:hanging="480"/>
      </w:pPr>
      <w:proofErr w:type="spellStart"/>
      <w:r w:rsidRPr="00EE1DBD">
        <w:t>Hargittai</w:t>
      </w:r>
      <w:proofErr w:type="spellEnd"/>
      <w:r w:rsidRPr="00EE1DBD">
        <w:t xml:space="preserve">, E., Fullerton, L., </w:t>
      </w:r>
      <w:proofErr w:type="spellStart"/>
      <w:r w:rsidRPr="00EE1DBD">
        <w:t>Menchen</w:t>
      </w:r>
      <w:proofErr w:type="spellEnd"/>
      <w:r w:rsidRPr="00EE1DBD">
        <w:t xml:space="preserve">-Trevino, E., &amp; Thomas, K. Y. (2010). Trust Online: Young Adults’ Evaluation of Web Content. </w:t>
      </w:r>
      <w:r w:rsidRPr="00EE1DBD">
        <w:rPr>
          <w:i/>
          <w:iCs/>
        </w:rPr>
        <w:t>International Journal of Communication, 4</w:t>
      </w:r>
      <w:r w:rsidRPr="00EE1DBD">
        <w:t>, 468-494.</w:t>
      </w:r>
    </w:p>
    <w:p w14:paraId="61343B76" w14:textId="3DD36F1A" w:rsidR="005C2B25" w:rsidRPr="00EE1DBD" w:rsidRDefault="005C2B25" w:rsidP="003A0FB1">
      <w:pPr>
        <w:spacing w:line="480" w:lineRule="auto"/>
        <w:ind w:hanging="480"/>
      </w:pPr>
      <w:proofErr w:type="spellStart"/>
      <w:r w:rsidRPr="00EE1DBD">
        <w:t>Jaakkola</w:t>
      </w:r>
      <w:proofErr w:type="spellEnd"/>
      <w:r w:rsidRPr="00EE1DBD">
        <w:t xml:space="preserve">, M. (2020). Journalists as Media Educators: Journalistic Media Education as Inclusive Boundary Work. </w:t>
      </w:r>
      <w:r w:rsidRPr="00EE1DBD">
        <w:rPr>
          <w:i/>
          <w:iCs/>
        </w:rPr>
        <w:t>Journalism Practice</w:t>
      </w:r>
      <w:r w:rsidRPr="00EE1DBD">
        <w:t xml:space="preserve">, 1–21. </w:t>
      </w:r>
      <w:hyperlink r:id="rId15" w:history="1">
        <w:r w:rsidRPr="00EE1DBD">
          <w:rPr>
            <w:color w:val="0000FF"/>
            <w:u w:val="single"/>
          </w:rPr>
          <w:t>https://doi.org/10.1080/17512786.2020.1844040</w:t>
        </w:r>
      </w:hyperlink>
    </w:p>
    <w:p w14:paraId="0D5200D2" w14:textId="47E5DB66" w:rsidR="00B748E4" w:rsidRPr="00EE1DBD" w:rsidRDefault="00B748E4" w:rsidP="003A0FB1">
      <w:pPr>
        <w:spacing w:line="480" w:lineRule="auto"/>
        <w:ind w:hanging="480"/>
        <w:rPr>
          <w:color w:val="0000FF"/>
          <w:u w:val="single"/>
        </w:rPr>
      </w:pPr>
      <w:r w:rsidRPr="00EE1DBD">
        <w:t xml:space="preserve">Jones-Jang, S. M., Mortensen, T., &amp; Liu, J. (2021). Does Media Literacy Help Identification of Fake News? Information Literacy Helps, but Other Literacies Don’t. </w:t>
      </w:r>
      <w:r w:rsidRPr="00EE1DBD">
        <w:rPr>
          <w:i/>
          <w:iCs/>
        </w:rPr>
        <w:t>American Behavioral Scientist</w:t>
      </w:r>
      <w:r w:rsidRPr="00EE1DBD">
        <w:t xml:space="preserve">, </w:t>
      </w:r>
      <w:r w:rsidRPr="00EE1DBD">
        <w:rPr>
          <w:i/>
          <w:iCs/>
        </w:rPr>
        <w:t>65</w:t>
      </w:r>
      <w:r w:rsidRPr="00EE1DBD">
        <w:t xml:space="preserve">(2), 371–388. </w:t>
      </w:r>
      <w:hyperlink r:id="rId16" w:history="1">
        <w:r w:rsidRPr="00EE1DBD">
          <w:rPr>
            <w:color w:val="0000FF"/>
            <w:u w:val="single"/>
          </w:rPr>
          <w:t>https://doi.org/10.1177/0002764219869406</w:t>
        </w:r>
      </w:hyperlink>
    </w:p>
    <w:p w14:paraId="581EA947" w14:textId="607573EE" w:rsidR="00A9483C" w:rsidRPr="00EE1DBD" w:rsidRDefault="00A9483C" w:rsidP="003A0FB1">
      <w:pPr>
        <w:spacing w:line="480" w:lineRule="auto"/>
        <w:ind w:hanging="480"/>
      </w:pPr>
      <w:r w:rsidRPr="00EE1DBD">
        <w:lastRenderedPageBreak/>
        <w:t xml:space="preserve">Kellner, D., &amp; Share, J. (2007). Critical Media Literacy: Crucial Policy Choices for a Twenty-First-Century Democracy. </w:t>
      </w:r>
      <w:r w:rsidRPr="00EE1DBD">
        <w:rPr>
          <w:i/>
          <w:iCs/>
        </w:rPr>
        <w:t>Policy Futures in Education</w:t>
      </w:r>
      <w:r w:rsidRPr="00EE1DBD">
        <w:t xml:space="preserve">, </w:t>
      </w:r>
      <w:r w:rsidRPr="00EE1DBD">
        <w:rPr>
          <w:i/>
          <w:iCs/>
        </w:rPr>
        <w:t>5</w:t>
      </w:r>
      <w:r w:rsidRPr="00EE1DBD">
        <w:t xml:space="preserve">(1), 59–69. </w:t>
      </w:r>
      <w:hyperlink r:id="rId17" w:history="1">
        <w:r w:rsidRPr="00EE1DBD">
          <w:rPr>
            <w:rStyle w:val="Hyperlink"/>
          </w:rPr>
          <w:t>https://doi.org/10.2304/pfie.2007.5.1.59</w:t>
        </w:r>
      </w:hyperlink>
    </w:p>
    <w:p w14:paraId="143D40C0" w14:textId="2C860862" w:rsidR="00CF169C" w:rsidRPr="00EE1DBD" w:rsidRDefault="00CF169C" w:rsidP="003A0FB1">
      <w:pPr>
        <w:spacing w:line="480" w:lineRule="auto"/>
        <w:ind w:hanging="480"/>
      </w:pPr>
      <w:r w:rsidRPr="00EE1DBD">
        <w:t xml:space="preserve">Kim, D., &amp; Kim, S. (2018). Newspaper journalists’ attitudes towards robot journalism. </w:t>
      </w:r>
      <w:r w:rsidRPr="00EE1DBD">
        <w:rPr>
          <w:i/>
          <w:iCs/>
        </w:rPr>
        <w:t>Telematics and Informatics</w:t>
      </w:r>
      <w:r w:rsidRPr="00EE1DBD">
        <w:t xml:space="preserve">, </w:t>
      </w:r>
      <w:r w:rsidRPr="00EE1DBD">
        <w:rPr>
          <w:i/>
          <w:iCs/>
        </w:rPr>
        <w:t>35</w:t>
      </w:r>
      <w:r w:rsidRPr="00EE1DBD">
        <w:t xml:space="preserve">(2), 340–357. </w:t>
      </w:r>
      <w:hyperlink r:id="rId18" w:history="1">
        <w:r w:rsidRPr="00EE1DBD">
          <w:rPr>
            <w:rStyle w:val="Hyperlink"/>
          </w:rPr>
          <w:t>https://doi.org/10.1016/j.tele.2017.12.009</w:t>
        </w:r>
      </w:hyperlink>
    </w:p>
    <w:p w14:paraId="2CFC5D96" w14:textId="143E164C" w:rsidR="00CF169C" w:rsidRPr="00EE1DBD" w:rsidRDefault="00CF169C" w:rsidP="003A0FB1">
      <w:pPr>
        <w:spacing w:line="480" w:lineRule="auto"/>
        <w:ind w:hanging="480"/>
      </w:pPr>
      <w:r w:rsidRPr="00EE1DBD">
        <w:t xml:space="preserve">Len-Ríos, M. E., </w:t>
      </w:r>
      <w:proofErr w:type="spellStart"/>
      <w:r w:rsidRPr="00EE1DBD">
        <w:t>Hinnant</w:t>
      </w:r>
      <w:proofErr w:type="spellEnd"/>
      <w:r w:rsidRPr="00EE1DBD">
        <w:t xml:space="preserve">, A., Park, S.-A., Cameron, G. T., Frisby, C. M., &amp; Lee, Y. (2009). Health News Agenda Building: Journalists’ Perceptions of the Role of Public Relations. </w:t>
      </w:r>
      <w:r w:rsidRPr="00EE1DBD">
        <w:rPr>
          <w:i/>
          <w:iCs/>
        </w:rPr>
        <w:t>Journalism &amp; Mass Communication Quarterly</w:t>
      </w:r>
      <w:r w:rsidRPr="00EE1DBD">
        <w:t xml:space="preserve">, </w:t>
      </w:r>
      <w:r w:rsidRPr="00EE1DBD">
        <w:rPr>
          <w:i/>
          <w:iCs/>
        </w:rPr>
        <w:t>86</w:t>
      </w:r>
      <w:r w:rsidRPr="00EE1DBD">
        <w:t xml:space="preserve">(2), 315–331. </w:t>
      </w:r>
      <w:hyperlink r:id="rId19" w:history="1">
        <w:r w:rsidRPr="00EE1DBD">
          <w:rPr>
            <w:rStyle w:val="Hyperlink"/>
          </w:rPr>
          <w:t>https://doi.org/10.1177/107769900908600204</w:t>
        </w:r>
      </w:hyperlink>
    </w:p>
    <w:p w14:paraId="1DF63535" w14:textId="77777777" w:rsidR="00B748E4" w:rsidRPr="00EE1DBD" w:rsidRDefault="00B748E4" w:rsidP="003A0FB1">
      <w:pPr>
        <w:spacing w:line="480" w:lineRule="auto"/>
        <w:ind w:hanging="480"/>
      </w:pPr>
      <w:r w:rsidRPr="00EE1DBD">
        <w:t xml:space="preserve">Mason, L. E., </w:t>
      </w:r>
      <w:proofErr w:type="spellStart"/>
      <w:r w:rsidRPr="00EE1DBD">
        <w:t>Krutka</w:t>
      </w:r>
      <w:proofErr w:type="spellEnd"/>
      <w:r w:rsidRPr="00EE1DBD">
        <w:t xml:space="preserve">, D., &amp; Stoddard, J. (2018). Media Literacy, Democracy, and the Challenge of Fake News. </w:t>
      </w:r>
      <w:r w:rsidRPr="00EE1DBD">
        <w:rPr>
          <w:i/>
          <w:iCs/>
        </w:rPr>
        <w:t>Journal of Media Literacy Education</w:t>
      </w:r>
      <w:r w:rsidRPr="00EE1DBD">
        <w:t xml:space="preserve">, </w:t>
      </w:r>
      <w:r w:rsidRPr="00EE1DBD">
        <w:rPr>
          <w:i/>
          <w:iCs/>
        </w:rPr>
        <w:t>10</w:t>
      </w:r>
      <w:r w:rsidRPr="00EE1DBD">
        <w:t xml:space="preserve">(2), 1–10. </w:t>
      </w:r>
      <w:hyperlink r:id="rId20" w:history="1">
        <w:r w:rsidRPr="00EE1DBD">
          <w:rPr>
            <w:color w:val="0000FF"/>
            <w:u w:val="single"/>
          </w:rPr>
          <w:t>https://doi.org/10.23860/JMLE-2018-10-2-1</w:t>
        </w:r>
      </w:hyperlink>
    </w:p>
    <w:p w14:paraId="0963FF95" w14:textId="77777777" w:rsidR="00B748E4" w:rsidRPr="00EE1DBD" w:rsidRDefault="00B748E4" w:rsidP="003A0FB1">
      <w:pPr>
        <w:spacing w:line="480" w:lineRule="auto"/>
        <w:ind w:hanging="480"/>
      </w:pPr>
      <w:r w:rsidRPr="00EE1DBD">
        <w:t xml:space="preserve">Mitchell, A., </w:t>
      </w:r>
      <w:proofErr w:type="spellStart"/>
      <w:r w:rsidRPr="00EE1DBD">
        <w:t>Jurkowitz</w:t>
      </w:r>
      <w:proofErr w:type="spellEnd"/>
      <w:r w:rsidRPr="00EE1DBD">
        <w:t xml:space="preserve">, M., Oliphant, J. B., &amp; Shearer, E. (2021). </w:t>
      </w:r>
      <w:r w:rsidRPr="00EE1DBD">
        <w:rPr>
          <w:i/>
          <w:iCs/>
        </w:rPr>
        <w:t>How Americans Navigated the News in 2020: A Tumultuous Year in Review</w:t>
      </w:r>
      <w:r w:rsidRPr="00EE1DBD">
        <w:t xml:space="preserve">. Pew Research Center. </w:t>
      </w:r>
      <w:hyperlink r:id="rId21" w:history="1">
        <w:r w:rsidRPr="00EE1DBD">
          <w:rPr>
            <w:rStyle w:val="Hyperlink"/>
          </w:rPr>
          <w:t>https://www.journalism.org/2021/02/22/how-americans-navigated-the-news-in-2020-a-tumultuous-year-in-review/</w:t>
        </w:r>
      </w:hyperlink>
    </w:p>
    <w:p w14:paraId="5C50BBFD" w14:textId="77777777" w:rsidR="00B748E4" w:rsidRPr="00EE1DBD" w:rsidRDefault="00B748E4" w:rsidP="003A0FB1">
      <w:pPr>
        <w:spacing w:line="480" w:lineRule="auto"/>
        <w:ind w:hanging="480"/>
      </w:pPr>
      <w:r w:rsidRPr="00EE1DBD">
        <w:t xml:space="preserve">PBS NewsHour. (2021, January 6). </w:t>
      </w:r>
      <w:r w:rsidRPr="00EE1DBD">
        <w:rPr>
          <w:i/>
          <w:iCs/>
        </w:rPr>
        <w:t xml:space="preserve">WATCH: Lisa </w:t>
      </w:r>
      <w:proofErr w:type="spellStart"/>
      <w:r w:rsidRPr="00EE1DBD">
        <w:rPr>
          <w:i/>
          <w:iCs/>
        </w:rPr>
        <w:t>Dejardins</w:t>
      </w:r>
      <w:proofErr w:type="spellEnd"/>
      <w:r w:rsidRPr="00EE1DBD">
        <w:rPr>
          <w:i/>
          <w:iCs/>
        </w:rPr>
        <w:t xml:space="preserve"> reports from inside U.S. Capitol where pro-Trump mob interrupts vote count</w:t>
      </w:r>
      <w:r w:rsidRPr="00EE1DBD">
        <w:t xml:space="preserve"> [Video]. YouTube. </w:t>
      </w:r>
      <w:hyperlink r:id="rId22" w:history="1">
        <w:r w:rsidRPr="00EE1DBD">
          <w:rPr>
            <w:rStyle w:val="Hyperlink"/>
          </w:rPr>
          <w:t>https://youtu.be/4E72MIiS8UM</w:t>
        </w:r>
      </w:hyperlink>
    </w:p>
    <w:p w14:paraId="49C8A3E4" w14:textId="77777777" w:rsidR="002E0618" w:rsidRPr="00EE1DBD" w:rsidRDefault="00B748E4" w:rsidP="003A0FB1">
      <w:pPr>
        <w:spacing w:line="480" w:lineRule="auto"/>
        <w:ind w:hanging="480"/>
        <w:rPr>
          <w:color w:val="0000FF"/>
          <w:u w:val="single"/>
        </w:rPr>
      </w:pPr>
      <w:r w:rsidRPr="00EE1DBD">
        <w:t xml:space="preserve">Potter, W. J. (2010). The State of Media Literacy. </w:t>
      </w:r>
      <w:r w:rsidRPr="00EE1DBD">
        <w:rPr>
          <w:i/>
          <w:iCs/>
        </w:rPr>
        <w:t>Journal of Broadcasting &amp; Electronic Media</w:t>
      </w:r>
      <w:r w:rsidRPr="00EE1DBD">
        <w:t xml:space="preserve">, </w:t>
      </w:r>
      <w:r w:rsidRPr="00EE1DBD">
        <w:rPr>
          <w:i/>
          <w:iCs/>
        </w:rPr>
        <w:t>54</w:t>
      </w:r>
      <w:r w:rsidRPr="00EE1DBD">
        <w:t xml:space="preserve">(4), 675–696. </w:t>
      </w:r>
      <w:hyperlink r:id="rId23" w:history="1">
        <w:r w:rsidRPr="00EE1DBD">
          <w:rPr>
            <w:color w:val="0000FF"/>
            <w:u w:val="single"/>
          </w:rPr>
          <w:t>https://doi.org/10.1080/08838151.2011.521462</w:t>
        </w:r>
      </w:hyperlink>
    </w:p>
    <w:p w14:paraId="10BF4008" w14:textId="1AC8EBD7" w:rsidR="005D22D1" w:rsidRPr="00EE1DBD" w:rsidRDefault="002E0618" w:rsidP="003A0FB1">
      <w:pPr>
        <w:spacing w:line="480" w:lineRule="auto"/>
        <w:ind w:hanging="480"/>
        <w:rPr>
          <w:color w:val="000000"/>
        </w:rPr>
      </w:pPr>
      <w:r w:rsidRPr="00EE1DBD">
        <w:rPr>
          <w:color w:val="000000"/>
        </w:rPr>
        <w:t xml:space="preserve">Riggio, Olivia. (2020, December 14). </w:t>
      </w:r>
      <w:r w:rsidRPr="00EE1DBD">
        <w:rPr>
          <w:i/>
          <w:iCs/>
          <w:color w:val="000000"/>
        </w:rPr>
        <w:t>Not All Media Literacy Programs are Created Equal- and Most Have Yet to Be Created</w:t>
      </w:r>
      <w:r w:rsidRPr="00EE1DBD">
        <w:rPr>
          <w:color w:val="000000"/>
        </w:rPr>
        <w:t>. FAIR.</w:t>
      </w:r>
      <w:r w:rsidR="005D22D1" w:rsidRPr="00EE1DBD">
        <w:rPr>
          <w:color w:val="000000"/>
        </w:rPr>
        <w:t xml:space="preserve"> </w:t>
      </w:r>
      <w:hyperlink r:id="rId24" w:history="1">
        <w:r w:rsidR="005D22D1" w:rsidRPr="00EE1DBD">
          <w:rPr>
            <w:rStyle w:val="Hyperlink"/>
          </w:rPr>
          <w:t>https://fair.org/home/not-all-media-literacy-programs-are-created-equal-and-most-have-yet-to-be-created/</w:t>
        </w:r>
      </w:hyperlink>
    </w:p>
    <w:p w14:paraId="126213AF" w14:textId="77777777" w:rsidR="00FA6380" w:rsidRPr="00EE1DBD" w:rsidRDefault="0062065D" w:rsidP="003A0FB1">
      <w:pPr>
        <w:spacing w:line="480" w:lineRule="auto"/>
        <w:ind w:hanging="480"/>
        <w:rPr>
          <w:color w:val="0000FF"/>
          <w:u w:val="single"/>
        </w:rPr>
      </w:pPr>
      <w:r w:rsidRPr="00EE1DBD">
        <w:rPr>
          <w:color w:val="000000"/>
        </w:rPr>
        <w:lastRenderedPageBreak/>
        <w:t xml:space="preserve">Shoemaker, Pamela J., and Stephen D. Reese. (2014). </w:t>
      </w:r>
      <w:r w:rsidRPr="00EE1DBD">
        <w:rPr>
          <w:i/>
          <w:iCs/>
          <w:color w:val="000000"/>
        </w:rPr>
        <w:t>Mediating the Message in the 21</w:t>
      </w:r>
      <w:r w:rsidRPr="00EE1DBD">
        <w:rPr>
          <w:i/>
          <w:iCs/>
          <w:color w:val="000000"/>
          <w:vertAlign w:val="superscript"/>
        </w:rPr>
        <w:t>st</w:t>
      </w:r>
      <w:r w:rsidRPr="00EE1DBD">
        <w:rPr>
          <w:i/>
          <w:iCs/>
          <w:color w:val="000000"/>
        </w:rPr>
        <w:t xml:space="preserve"> Century: A Media Sociology Perspective.</w:t>
      </w:r>
      <w:r w:rsidRPr="00EE1DBD">
        <w:rPr>
          <w:color w:val="000000"/>
        </w:rPr>
        <w:t xml:space="preserve"> New York, NY: Routledge.</w:t>
      </w:r>
    </w:p>
    <w:p w14:paraId="15C68B16" w14:textId="3F348BC6" w:rsidR="00050E82" w:rsidRPr="00EE1DBD" w:rsidRDefault="00FA6380" w:rsidP="003A0FB1">
      <w:pPr>
        <w:spacing w:line="480" w:lineRule="auto"/>
        <w:ind w:hanging="480"/>
      </w:pPr>
      <w:r w:rsidRPr="00EE1DBD">
        <w:t xml:space="preserve">Shane, Tommy. (2020, August 6). </w:t>
      </w:r>
      <w:r w:rsidRPr="00EE1DBD">
        <w:rPr>
          <w:i/>
          <w:iCs/>
        </w:rPr>
        <w:t>People who engage with false news are hyper-concerned about truth. But they think it’s being hidden.</w:t>
      </w:r>
      <w:r w:rsidR="00050E82" w:rsidRPr="00EE1DBD">
        <w:t xml:space="preserve"> </w:t>
      </w:r>
      <w:proofErr w:type="spellStart"/>
      <w:r w:rsidR="00050E82" w:rsidRPr="00EE1DBD">
        <w:t>NiemanLab</w:t>
      </w:r>
      <w:proofErr w:type="spellEnd"/>
      <w:r w:rsidR="00050E82" w:rsidRPr="00EE1DBD">
        <w:t xml:space="preserve">. </w:t>
      </w:r>
      <w:hyperlink r:id="rId25" w:history="1">
        <w:r w:rsidR="00050E82" w:rsidRPr="00EE1DBD">
          <w:rPr>
            <w:rStyle w:val="Hyperlink"/>
          </w:rPr>
          <w:t>https://www.niemanlab.org/2020/08/people-who-engage-with-false-news-are-hyper-concerned-about-truth-but-they-think-its-being-hidden/</w:t>
        </w:r>
      </w:hyperlink>
    </w:p>
    <w:p w14:paraId="513A9FC3" w14:textId="52F432B1" w:rsidR="00182B78" w:rsidRDefault="00B748E4" w:rsidP="003A0FB1">
      <w:pPr>
        <w:spacing w:line="480" w:lineRule="auto"/>
        <w:ind w:hanging="480"/>
        <w:rPr>
          <w:color w:val="0000FF"/>
          <w:u w:val="single"/>
        </w:rPr>
      </w:pPr>
      <w:proofErr w:type="spellStart"/>
      <w:r w:rsidRPr="00EE1DBD">
        <w:t>Thoman</w:t>
      </w:r>
      <w:proofErr w:type="spellEnd"/>
      <w:r w:rsidRPr="00EE1DBD">
        <w:t xml:space="preserve">, E., &amp; </w:t>
      </w:r>
      <w:proofErr w:type="spellStart"/>
      <w:r w:rsidRPr="00EE1DBD">
        <w:t>Jolls</w:t>
      </w:r>
      <w:proofErr w:type="spellEnd"/>
      <w:r w:rsidRPr="00EE1DBD">
        <w:t xml:space="preserve">, T. (2004). Media Literacy—A National Priority for a Changing World. </w:t>
      </w:r>
      <w:r w:rsidRPr="00EE1DBD">
        <w:rPr>
          <w:i/>
          <w:iCs/>
        </w:rPr>
        <w:t>American Behavioral Scientist</w:t>
      </w:r>
      <w:r w:rsidRPr="00EE1DBD">
        <w:t xml:space="preserve">, </w:t>
      </w:r>
      <w:r w:rsidRPr="00EE1DBD">
        <w:rPr>
          <w:i/>
          <w:iCs/>
        </w:rPr>
        <w:t>48</w:t>
      </w:r>
      <w:r w:rsidRPr="00EE1DBD">
        <w:t xml:space="preserve">(1), 18–29. </w:t>
      </w:r>
      <w:hyperlink r:id="rId26" w:history="1">
        <w:r w:rsidRPr="00EE1DBD">
          <w:rPr>
            <w:color w:val="0000FF"/>
            <w:u w:val="single"/>
          </w:rPr>
          <w:t>https://doi.org/10.1177/0002764204267246</w:t>
        </w:r>
      </w:hyperlink>
    </w:p>
    <w:p w14:paraId="7D499AD8" w14:textId="0BC65BEA" w:rsidR="00437EDF" w:rsidRDefault="00437EDF" w:rsidP="003A0FB1">
      <w:pPr>
        <w:spacing w:line="480" w:lineRule="auto"/>
        <w:ind w:hanging="480"/>
        <w:rPr>
          <w:color w:val="0000FF"/>
          <w:u w:val="single"/>
        </w:rPr>
      </w:pPr>
    </w:p>
    <w:p w14:paraId="53C0D4D5" w14:textId="27B1CB65" w:rsidR="00437EDF" w:rsidRDefault="00437EDF" w:rsidP="003A0FB1">
      <w:pPr>
        <w:spacing w:line="480" w:lineRule="auto"/>
        <w:ind w:hanging="480"/>
        <w:rPr>
          <w:color w:val="0000FF"/>
          <w:u w:val="single"/>
        </w:rPr>
      </w:pPr>
    </w:p>
    <w:p w14:paraId="6AD49743" w14:textId="78BBE0AB" w:rsidR="00437EDF" w:rsidRDefault="00437EDF" w:rsidP="003A0FB1">
      <w:pPr>
        <w:spacing w:line="480" w:lineRule="auto"/>
        <w:ind w:hanging="480"/>
        <w:rPr>
          <w:color w:val="0000FF"/>
          <w:u w:val="single"/>
        </w:rPr>
      </w:pPr>
    </w:p>
    <w:p w14:paraId="5AA6FFB9" w14:textId="53AD42EF" w:rsidR="00437EDF" w:rsidRDefault="00437EDF" w:rsidP="003A0FB1">
      <w:pPr>
        <w:spacing w:line="480" w:lineRule="auto"/>
        <w:ind w:hanging="480"/>
        <w:rPr>
          <w:color w:val="0000FF"/>
          <w:u w:val="single"/>
        </w:rPr>
      </w:pPr>
    </w:p>
    <w:p w14:paraId="38EDA5CA" w14:textId="0FFDFD7E" w:rsidR="00437EDF" w:rsidRDefault="00437EDF" w:rsidP="003A0FB1">
      <w:pPr>
        <w:spacing w:line="480" w:lineRule="auto"/>
        <w:ind w:hanging="480"/>
        <w:rPr>
          <w:color w:val="0000FF"/>
          <w:u w:val="single"/>
        </w:rPr>
      </w:pPr>
    </w:p>
    <w:p w14:paraId="1DF28CB6" w14:textId="7D0CF5F5" w:rsidR="00437EDF" w:rsidRDefault="00437EDF" w:rsidP="003A0FB1">
      <w:pPr>
        <w:spacing w:line="480" w:lineRule="auto"/>
        <w:ind w:hanging="480"/>
        <w:rPr>
          <w:color w:val="0000FF"/>
          <w:u w:val="single"/>
        </w:rPr>
      </w:pPr>
    </w:p>
    <w:p w14:paraId="7544C205" w14:textId="69D42A22" w:rsidR="00437EDF" w:rsidRDefault="00437EDF" w:rsidP="003A0FB1">
      <w:pPr>
        <w:spacing w:line="480" w:lineRule="auto"/>
        <w:ind w:hanging="480"/>
        <w:rPr>
          <w:color w:val="0000FF"/>
          <w:u w:val="single"/>
        </w:rPr>
      </w:pPr>
    </w:p>
    <w:p w14:paraId="0B613EFC" w14:textId="2CB9FADA" w:rsidR="00437EDF" w:rsidRDefault="00437EDF" w:rsidP="003A0FB1">
      <w:pPr>
        <w:spacing w:line="480" w:lineRule="auto"/>
        <w:ind w:hanging="480"/>
        <w:rPr>
          <w:color w:val="0000FF"/>
          <w:u w:val="single"/>
        </w:rPr>
      </w:pPr>
    </w:p>
    <w:p w14:paraId="75D94499" w14:textId="2B29A5C2" w:rsidR="00437EDF" w:rsidRDefault="00437EDF" w:rsidP="003A0FB1">
      <w:pPr>
        <w:spacing w:line="480" w:lineRule="auto"/>
        <w:ind w:hanging="480"/>
        <w:rPr>
          <w:color w:val="0000FF"/>
          <w:u w:val="single"/>
        </w:rPr>
      </w:pPr>
    </w:p>
    <w:p w14:paraId="77C8C6D6" w14:textId="6C80E4E5" w:rsidR="00437EDF" w:rsidRDefault="00437EDF" w:rsidP="003A0FB1">
      <w:pPr>
        <w:spacing w:line="480" w:lineRule="auto"/>
        <w:ind w:hanging="480"/>
        <w:rPr>
          <w:color w:val="0000FF"/>
          <w:u w:val="single"/>
        </w:rPr>
      </w:pPr>
    </w:p>
    <w:p w14:paraId="3F0FE5C8" w14:textId="4F4F2453" w:rsidR="00437EDF" w:rsidRDefault="00437EDF" w:rsidP="003A0FB1">
      <w:pPr>
        <w:spacing w:line="480" w:lineRule="auto"/>
        <w:rPr>
          <w:color w:val="0000FF"/>
          <w:u w:val="single"/>
        </w:rPr>
      </w:pPr>
    </w:p>
    <w:p w14:paraId="2A315B85" w14:textId="4290CF37" w:rsidR="00AE592D" w:rsidRDefault="00AE592D" w:rsidP="003A0FB1">
      <w:pPr>
        <w:spacing w:line="480" w:lineRule="auto"/>
        <w:rPr>
          <w:color w:val="0000FF"/>
          <w:u w:val="single"/>
        </w:rPr>
      </w:pPr>
    </w:p>
    <w:p w14:paraId="486A38E9" w14:textId="2E162ADF" w:rsidR="00AE592D" w:rsidRDefault="00AE592D" w:rsidP="003A0FB1">
      <w:pPr>
        <w:spacing w:line="480" w:lineRule="auto"/>
        <w:rPr>
          <w:color w:val="0000FF"/>
          <w:u w:val="single"/>
        </w:rPr>
      </w:pPr>
    </w:p>
    <w:p w14:paraId="237779E4" w14:textId="398BE13E" w:rsidR="00AE592D" w:rsidRDefault="00AE592D" w:rsidP="003A0FB1">
      <w:pPr>
        <w:spacing w:line="480" w:lineRule="auto"/>
        <w:rPr>
          <w:color w:val="0000FF"/>
          <w:u w:val="single"/>
        </w:rPr>
      </w:pPr>
    </w:p>
    <w:p w14:paraId="464CD0F4" w14:textId="0BF8FAC8" w:rsidR="00AE592D" w:rsidRDefault="00AE592D" w:rsidP="003A0FB1">
      <w:pPr>
        <w:spacing w:line="480" w:lineRule="auto"/>
        <w:rPr>
          <w:color w:val="0000FF"/>
          <w:u w:val="single"/>
        </w:rPr>
      </w:pPr>
    </w:p>
    <w:p w14:paraId="69B991D6" w14:textId="77777777" w:rsidR="00AE592D" w:rsidRPr="00EE1DBD" w:rsidRDefault="00AE592D" w:rsidP="003A0FB1">
      <w:pPr>
        <w:spacing w:line="480" w:lineRule="auto"/>
        <w:rPr>
          <w:color w:val="0000FF"/>
          <w:u w:val="single"/>
        </w:rPr>
      </w:pPr>
    </w:p>
    <w:p w14:paraId="5F6811C4" w14:textId="13F5F5F1" w:rsidR="00182B78" w:rsidRPr="00EE1DBD" w:rsidRDefault="00182B78" w:rsidP="003A0FB1">
      <w:pPr>
        <w:spacing w:line="480" w:lineRule="auto"/>
        <w:ind w:hanging="480"/>
        <w:jc w:val="center"/>
        <w:rPr>
          <w:b/>
          <w:bCs/>
        </w:rPr>
      </w:pPr>
      <w:r w:rsidRPr="00EE1DBD">
        <w:rPr>
          <w:b/>
          <w:bCs/>
        </w:rPr>
        <w:lastRenderedPageBreak/>
        <w:t>Appendix</w:t>
      </w:r>
    </w:p>
    <w:p w14:paraId="69D56B3D" w14:textId="7E765808" w:rsidR="00182B78" w:rsidRPr="00437EDF" w:rsidRDefault="00182B78" w:rsidP="003A0FB1">
      <w:pPr>
        <w:spacing w:line="480" w:lineRule="auto"/>
        <w:ind w:hanging="480"/>
        <w:rPr>
          <w:i/>
          <w:iCs/>
        </w:rPr>
      </w:pPr>
      <w:r w:rsidRPr="00EE1DBD">
        <w:rPr>
          <w:i/>
          <w:iCs/>
        </w:rPr>
        <w:t xml:space="preserve">Example of </w:t>
      </w:r>
      <w:r w:rsidR="00CA3ABC" w:rsidRPr="00EE1DBD">
        <w:rPr>
          <w:i/>
          <w:iCs/>
        </w:rPr>
        <w:t>Coded Mentions</w:t>
      </w:r>
      <w:r w:rsidRPr="00EE1DBD">
        <w:rPr>
          <w:noProof/>
          <w:color w:val="0000FF"/>
          <w:u w:val="single"/>
        </w:rPr>
        <w:drawing>
          <wp:anchor distT="0" distB="0" distL="114300" distR="114300" simplePos="0" relativeHeight="251658240" behindDoc="1" locked="0" layoutInCell="1" allowOverlap="1" wp14:anchorId="36BAFF05" wp14:editId="25C12A09">
            <wp:simplePos x="0" y="0"/>
            <wp:positionH relativeFrom="column">
              <wp:posOffset>-2192020</wp:posOffset>
            </wp:positionH>
            <wp:positionV relativeFrom="paragraph">
              <wp:posOffset>2228215</wp:posOffset>
            </wp:positionV>
            <wp:extent cx="7074535" cy="3332480"/>
            <wp:effectExtent l="4128" t="0" r="3492" b="3493"/>
            <wp:wrapTight wrapText="bothSides">
              <wp:wrapPolygon edited="0">
                <wp:start x="13" y="21627"/>
                <wp:lineTo x="21572" y="21627"/>
                <wp:lineTo x="21572" y="60"/>
                <wp:lineTo x="13" y="60"/>
                <wp:lineTo x="13" y="21627"/>
              </wp:wrapPolygon>
            </wp:wrapTight>
            <wp:docPr id="4" name="Picture 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abl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rot="5400000">
                      <a:off x="0" y="0"/>
                      <a:ext cx="7074535" cy="3332480"/>
                    </a:xfrm>
                    <a:prstGeom prst="rect">
                      <a:avLst/>
                    </a:prstGeom>
                  </pic:spPr>
                </pic:pic>
              </a:graphicData>
            </a:graphic>
            <wp14:sizeRelH relativeFrom="page">
              <wp14:pctWidth>0</wp14:pctWidth>
            </wp14:sizeRelH>
            <wp14:sizeRelV relativeFrom="page">
              <wp14:pctHeight>0</wp14:pctHeight>
            </wp14:sizeRelV>
          </wp:anchor>
        </w:drawing>
      </w:r>
    </w:p>
    <w:sectPr w:rsidR="00182B78" w:rsidRPr="00437EDF" w:rsidSect="001F5F3A">
      <w:headerReference w:type="even" r:id="rId28"/>
      <w:headerReference w:type="default" r:id="rId29"/>
      <w:headerReference w:type="first" r:id="rId3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CD9218" w14:textId="77777777" w:rsidR="00F11F7B" w:rsidRDefault="00F11F7B" w:rsidP="00B748E4">
      <w:r>
        <w:separator/>
      </w:r>
    </w:p>
  </w:endnote>
  <w:endnote w:type="continuationSeparator" w:id="0">
    <w:p w14:paraId="5EE14616" w14:textId="77777777" w:rsidR="00F11F7B" w:rsidRDefault="00F11F7B" w:rsidP="00B74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918EBC" w14:textId="77777777" w:rsidR="00F11F7B" w:rsidRDefault="00F11F7B" w:rsidP="00B748E4">
      <w:r>
        <w:separator/>
      </w:r>
    </w:p>
  </w:footnote>
  <w:footnote w:type="continuationSeparator" w:id="0">
    <w:p w14:paraId="00883F2F" w14:textId="77777777" w:rsidR="00F11F7B" w:rsidRDefault="00F11F7B" w:rsidP="00B748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8050477"/>
      <w:docPartObj>
        <w:docPartGallery w:val="Page Numbers (Top of Page)"/>
        <w:docPartUnique/>
      </w:docPartObj>
    </w:sdtPr>
    <w:sdtEndPr>
      <w:rPr>
        <w:rStyle w:val="PageNumber"/>
      </w:rPr>
    </w:sdtEndPr>
    <w:sdtContent>
      <w:p w14:paraId="1C4635B9" w14:textId="0B52CD6F" w:rsidR="00EE1DBD" w:rsidRDefault="00EE1DBD" w:rsidP="00D17E3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162C23" w14:textId="77777777" w:rsidR="00EE1DBD" w:rsidRDefault="00EE1DBD" w:rsidP="00EE1DB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69693437"/>
      <w:docPartObj>
        <w:docPartGallery w:val="Page Numbers (Top of Page)"/>
        <w:docPartUnique/>
      </w:docPartObj>
    </w:sdtPr>
    <w:sdtEndPr>
      <w:rPr>
        <w:rStyle w:val="PageNumber"/>
      </w:rPr>
    </w:sdtEndPr>
    <w:sdtContent>
      <w:p w14:paraId="50BEC85F" w14:textId="36733175" w:rsidR="00EE1DBD" w:rsidRDefault="00EE1DBD" w:rsidP="00D17E3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CFD5EB" w14:textId="097A0813" w:rsidR="00B748E4" w:rsidRDefault="00EE1DBD" w:rsidP="00EE1DBD">
    <w:pPr>
      <w:pStyle w:val="Header"/>
      <w:ind w:right="360"/>
    </w:pPr>
    <w:r>
      <w:t>THE DISCONNECT</w:t>
    </w:r>
    <w:r w:rsidR="00B748E4">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5662831"/>
      <w:docPartObj>
        <w:docPartGallery w:val="Page Numbers (Top of Page)"/>
        <w:docPartUnique/>
      </w:docPartObj>
    </w:sdtPr>
    <w:sdtEndPr>
      <w:rPr>
        <w:rStyle w:val="PageNumber"/>
      </w:rPr>
    </w:sdtEndPr>
    <w:sdtContent>
      <w:p w14:paraId="4C2F8ABA" w14:textId="123BEB98" w:rsidR="003A0FB1" w:rsidRDefault="003A0FB1" w:rsidP="00D17E3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33AED2" w14:textId="77777777" w:rsidR="003A0FB1" w:rsidRDefault="003A0FB1" w:rsidP="003A0FB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4982"/>
    <w:multiLevelType w:val="hybridMultilevel"/>
    <w:tmpl w:val="93C43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8E2C4B"/>
    <w:multiLevelType w:val="hybridMultilevel"/>
    <w:tmpl w:val="DEFAB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1D16E1"/>
    <w:multiLevelType w:val="hybridMultilevel"/>
    <w:tmpl w:val="C6E02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3FB"/>
    <w:rsid w:val="00001524"/>
    <w:rsid w:val="000070A7"/>
    <w:rsid w:val="00014FF3"/>
    <w:rsid w:val="00033337"/>
    <w:rsid w:val="00042898"/>
    <w:rsid w:val="00050E82"/>
    <w:rsid w:val="00051DAD"/>
    <w:rsid w:val="00074AAA"/>
    <w:rsid w:val="000A1DC6"/>
    <w:rsid w:val="00182B78"/>
    <w:rsid w:val="001B5E76"/>
    <w:rsid w:val="001C3E39"/>
    <w:rsid w:val="001D19FC"/>
    <w:rsid w:val="001E02AF"/>
    <w:rsid w:val="001F48B8"/>
    <w:rsid w:val="001F5F3A"/>
    <w:rsid w:val="002109A2"/>
    <w:rsid w:val="00217A60"/>
    <w:rsid w:val="00221FFC"/>
    <w:rsid w:val="0023636F"/>
    <w:rsid w:val="00241260"/>
    <w:rsid w:val="00244855"/>
    <w:rsid w:val="00254A80"/>
    <w:rsid w:val="002671EA"/>
    <w:rsid w:val="00277996"/>
    <w:rsid w:val="002B61E3"/>
    <w:rsid w:val="002C581C"/>
    <w:rsid w:val="002E0618"/>
    <w:rsid w:val="002F605C"/>
    <w:rsid w:val="0031789D"/>
    <w:rsid w:val="00342A83"/>
    <w:rsid w:val="00385299"/>
    <w:rsid w:val="003A0A3A"/>
    <w:rsid w:val="003A0FB1"/>
    <w:rsid w:val="003B3AD4"/>
    <w:rsid w:val="003D01CF"/>
    <w:rsid w:val="003D6982"/>
    <w:rsid w:val="003F123D"/>
    <w:rsid w:val="003F48B4"/>
    <w:rsid w:val="003F5CE8"/>
    <w:rsid w:val="00437EDF"/>
    <w:rsid w:val="004674F3"/>
    <w:rsid w:val="0047182C"/>
    <w:rsid w:val="004A42EF"/>
    <w:rsid w:val="004C6DA4"/>
    <w:rsid w:val="004D2456"/>
    <w:rsid w:val="004F3802"/>
    <w:rsid w:val="004F6A37"/>
    <w:rsid w:val="00504E8F"/>
    <w:rsid w:val="005206D8"/>
    <w:rsid w:val="00533D97"/>
    <w:rsid w:val="0053554E"/>
    <w:rsid w:val="00545048"/>
    <w:rsid w:val="00547A07"/>
    <w:rsid w:val="00594543"/>
    <w:rsid w:val="005A2DC0"/>
    <w:rsid w:val="005C2B25"/>
    <w:rsid w:val="005D22D1"/>
    <w:rsid w:val="005D3AF9"/>
    <w:rsid w:val="005F2A22"/>
    <w:rsid w:val="0062065D"/>
    <w:rsid w:val="006210AA"/>
    <w:rsid w:val="0065102A"/>
    <w:rsid w:val="0067314A"/>
    <w:rsid w:val="00681BA7"/>
    <w:rsid w:val="006A6EEB"/>
    <w:rsid w:val="006B21DF"/>
    <w:rsid w:val="006D247C"/>
    <w:rsid w:val="006D712D"/>
    <w:rsid w:val="007248CF"/>
    <w:rsid w:val="00733CA6"/>
    <w:rsid w:val="00734118"/>
    <w:rsid w:val="007436C3"/>
    <w:rsid w:val="007D4245"/>
    <w:rsid w:val="00842F3B"/>
    <w:rsid w:val="00843854"/>
    <w:rsid w:val="00882F1D"/>
    <w:rsid w:val="008948EF"/>
    <w:rsid w:val="00896B42"/>
    <w:rsid w:val="008C563F"/>
    <w:rsid w:val="008C67A4"/>
    <w:rsid w:val="008F19AE"/>
    <w:rsid w:val="00900735"/>
    <w:rsid w:val="009158B0"/>
    <w:rsid w:val="00926180"/>
    <w:rsid w:val="00933AF1"/>
    <w:rsid w:val="00963295"/>
    <w:rsid w:val="0098149C"/>
    <w:rsid w:val="009A736E"/>
    <w:rsid w:val="009C5BB4"/>
    <w:rsid w:val="009C7B6D"/>
    <w:rsid w:val="00A0437F"/>
    <w:rsid w:val="00A064E5"/>
    <w:rsid w:val="00A06BE4"/>
    <w:rsid w:val="00A15F51"/>
    <w:rsid w:val="00A53B1B"/>
    <w:rsid w:val="00A768BD"/>
    <w:rsid w:val="00A814CD"/>
    <w:rsid w:val="00A90C1D"/>
    <w:rsid w:val="00A9483C"/>
    <w:rsid w:val="00AA322E"/>
    <w:rsid w:val="00AB085A"/>
    <w:rsid w:val="00AE47FC"/>
    <w:rsid w:val="00AE592D"/>
    <w:rsid w:val="00AF4C03"/>
    <w:rsid w:val="00B249E3"/>
    <w:rsid w:val="00B748E4"/>
    <w:rsid w:val="00B74C33"/>
    <w:rsid w:val="00B76864"/>
    <w:rsid w:val="00B91EEB"/>
    <w:rsid w:val="00BA113F"/>
    <w:rsid w:val="00BC0C41"/>
    <w:rsid w:val="00BC23FB"/>
    <w:rsid w:val="00BC7CB8"/>
    <w:rsid w:val="00BE7A3C"/>
    <w:rsid w:val="00C301DF"/>
    <w:rsid w:val="00C30AA2"/>
    <w:rsid w:val="00C563CE"/>
    <w:rsid w:val="00CA3ABC"/>
    <w:rsid w:val="00CB2A20"/>
    <w:rsid w:val="00CC4510"/>
    <w:rsid w:val="00CE70ED"/>
    <w:rsid w:val="00CF169C"/>
    <w:rsid w:val="00D22802"/>
    <w:rsid w:val="00DA66D0"/>
    <w:rsid w:val="00DB445A"/>
    <w:rsid w:val="00E15230"/>
    <w:rsid w:val="00E676A5"/>
    <w:rsid w:val="00E71AE5"/>
    <w:rsid w:val="00E74424"/>
    <w:rsid w:val="00E75347"/>
    <w:rsid w:val="00E77383"/>
    <w:rsid w:val="00E91A3F"/>
    <w:rsid w:val="00E93F15"/>
    <w:rsid w:val="00EC1956"/>
    <w:rsid w:val="00ED3084"/>
    <w:rsid w:val="00EE0A69"/>
    <w:rsid w:val="00EE1DBD"/>
    <w:rsid w:val="00F11F7B"/>
    <w:rsid w:val="00F14D81"/>
    <w:rsid w:val="00F307F7"/>
    <w:rsid w:val="00F43C90"/>
    <w:rsid w:val="00F45EC9"/>
    <w:rsid w:val="00F66BB3"/>
    <w:rsid w:val="00F77A41"/>
    <w:rsid w:val="00F84A81"/>
    <w:rsid w:val="00FA6380"/>
    <w:rsid w:val="00FB54A5"/>
    <w:rsid w:val="00FC7058"/>
    <w:rsid w:val="00FF3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50BB8"/>
  <w15:chartTrackingRefBased/>
  <w15:docId w15:val="{AAB6FC23-83DE-9249-81A9-A66854058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B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8E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B748E4"/>
  </w:style>
  <w:style w:type="paragraph" w:styleId="Footer">
    <w:name w:val="footer"/>
    <w:basedOn w:val="Normal"/>
    <w:link w:val="FooterChar"/>
    <w:uiPriority w:val="99"/>
    <w:unhideWhenUsed/>
    <w:rsid w:val="00B748E4"/>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B748E4"/>
  </w:style>
  <w:style w:type="character" w:styleId="Hyperlink">
    <w:name w:val="Hyperlink"/>
    <w:basedOn w:val="DefaultParagraphFont"/>
    <w:uiPriority w:val="99"/>
    <w:unhideWhenUsed/>
    <w:rsid w:val="00B748E4"/>
    <w:rPr>
      <w:color w:val="0000FF"/>
      <w:u w:val="single"/>
    </w:rPr>
  </w:style>
  <w:style w:type="paragraph" w:styleId="FootnoteText">
    <w:name w:val="footnote text"/>
    <w:basedOn w:val="Normal"/>
    <w:link w:val="FootnoteTextChar"/>
    <w:uiPriority w:val="99"/>
    <w:semiHidden/>
    <w:unhideWhenUsed/>
    <w:rsid w:val="00B748E4"/>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B748E4"/>
    <w:rPr>
      <w:sz w:val="20"/>
      <w:szCs w:val="20"/>
    </w:rPr>
  </w:style>
  <w:style w:type="character" w:styleId="FootnoteReference">
    <w:name w:val="footnote reference"/>
    <w:basedOn w:val="DefaultParagraphFont"/>
    <w:uiPriority w:val="99"/>
    <w:semiHidden/>
    <w:unhideWhenUsed/>
    <w:rsid w:val="00B748E4"/>
    <w:rPr>
      <w:vertAlign w:val="superscript"/>
    </w:rPr>
  </w:style>
  <w:style w:type="paragraph" w:styleId="ListParagraph">
    <w:name w:val="List Paragraph"/>
    <w:basedOn w:val="Normal"/>
    <w:uiPriority w:val="34"/>
    <w:qFormat/>
    <w:rsid w:val="001D19FC"/>
    <w:pPr>
      <w:ind w:left="720"/>
      <w:contextualSpacing/>
    </w:pPr>
  </w:style>
  <w:style w:type="character" w:styleId="UnresolvedMention">
    <w:name w:val="Unresolved Mention"/>
    <w:basedOn w:val="DefaultParagraphFont"/>
    <w:uiPriority w:val="99"/>
    <w:semiHidden/>
    <w:unhideWhenUsed/>
    <w:rsid w:val="008C563F"/>
    <w:rPr>
      <w:color w:val="605E5C"/>
      <w:shd w:val="clear" w:color="auto" w:fill="E1DFDD"/>
    </w:rPr>
  </w:style>
  <w:style w:type="paragraph" w:styleId="NormalWeb">
    <w:name w:val="Normal (Web)"/>
    <w:basedOn w:val="Normal"/>
    <w:uiPriority w:val="99"/>
    <w:semiHidden/>
    <w:unhideWhenUsed/>
    <w:rsid w:val="002E0618"/>
    <w:pPr>
      <w:spacing w:before="100" w:beforeAutospacing="1" w:after="100" w:afterAutospacing="1"/>
    </w:pPr>
  </w:style>
  <w:style w:type="character" w:styleId="FollowedHyperlink">
    <w:name w:val="FollowedHyperlink"/>
    <w:basedOn w:val="DefaultParagraphFont"/>
    <w:uiPriority w:val="99"/>
    <w:semiHidden/>
    <w:unhideWhenUsed/>
    <w:rsid w:val="0098149C"/>
    <w:rPr>
      <w:color w:val="954F72" w:themeColor="followedHyperlink"/>
      <w:u w:val="single"/>
    </w:rPr>
  </w:style>
  <w:style w:type="paragraph" w:styleId="Title">
    <w:name w:val="Title"/>
    <w:basedOn w:val="Normal"/>
    <w:link w:val="TitleChar"/>
    <w:qFormat/>
    <w:rsid w:val="00EE1DBD"/>
    <w:pPr>
      <w:spacing w:before="2400" w:line="480" w:lineRule="auto"/>
      <w:contextualSpacing/>
      <w:jc w:val="center"/>
    </w:pPr>
    <w:rPr>
      <w:rFonts w:asciiTheme="majorHAnsi" w:eastAsiaTheme="majorEastAsia" w:hAnsiTheme="majorHAnsi" w:cstheme="majorBidi"/>
      <w:kern w:val="24"/>
      <w:lang w:eastAsia="ja-JP"/>
    </w:rPr>
  </w:style>
  <w:style w:type="character" w:customStyle="1" w:styleId="TitleChar">
    <w:name w:val="Title Char"/>
    <w:basedOn w:val="DefaultParagraphFont"/>
    <w:link w:val="Title"/>
    <w:rsid w:val="00EE1DBD"/>
    <w:rPr>
      <w:rFonts w:asciiTheme="majorHAnsi" w:eastAsiaTheme="majorEastAsia" w:hAnsiTheme="majorHAnsi" w:cstheme="majorBidi"/>
      <w:kern w:val="24"/>
      <w:lang w:eastAsia="ja-JP"/>
    </w:rPr>
  </w:style>
  <w:style w:type="paragraph" w:customStyle="1" w:styleId="Title2">
    <w:name w:val="Title 2"/>
    <w:basedOn w:val="Normal"/>
    <w:uiPriority w:val="1"/>
    <w:qFormat/>
    <w:rsid w:val="00EE1DBD"/>
    <w:pPr>
      <w:spacing w:line="480" w:lineRule="auto"/>
      <w:jc w:val="center"/>
    </w:pPr>
    <w:rPr>
      <w:rFonts w:asciiTheme="minorHAnsi" w:eastAsiaTheme="minorEastAsia" w:hAnsiTheme="minorHAnsi" w:cstheme="minorBidi"/>
      <w:kern w:val="24"/>
      <w:lang w:eastAsia="ja-JP"/>
    </w:rPr>
  </w:style>
  <w:style w:type="character" w:styleId="PageNumber">
    <w:name w:val="page number"/>
    <w:basedOn w:val="DefaultParagraphFont"/>
    <w:uiPriority w:val="99"/>
    <w:semiHidden/>
    <w:unhideWhenUsed/>
    <w:rsid w:val="00EE1D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198981">
      <w:bodyDiv w:val="1"/>
      <w:marLeft w:val="0"/>
      <w:marRight w:val="0"/>
      <w:marTop w:val="0"/>
      <w:marBottom w:val="0"/>
      <w:divBdr>
        <w:top w:val="none" w:sz="0" w:space="0" w:color="auto"/>
        <w:left w:val="none" w:sz="0" w:space="0" w:color="auto"/>
        <w:bottom w:val="none" w:sz="0" w:space="0" w:color="auto"/>
        <w:right w:val="none" w:sz="0" w:space="0" w:color="auto"/>
      </w:divBdr>
    </w:div>
    <w:div w:id="267198373">
      <w:bodyDiv w:val="1"/>
      <w:marLeft w:val="0"/>
      <w:marRight w:val="0"/>
      <w:marTop w:val="0"/>
      <w:marBottom w:val="0"/>
      <w:divBdr>
        <w:top w:val="none" w:sz="0" w:space="0" w:color="auto"/>
        <w:left w:val="none" w:sz="0" w:space="0" w:color="auto"/>
        <w:bottom w:val="none" w:sz="0" w:space="0" w:color="auto"/>
        <w:right w:val="none" w:sz="0" w:space="0" w:color="auto"/>
      </w:divBdr>
      <w:divsChild>
        <w:div w:id="1079132128">
          <w:marLeft w:val="480"/>
          <w:marRight w:val="0"/>
          <w:marTop w:val="0"/>
          <w:marBottom w:val="0"/>
          <w:divBdr>
            <w:top w:val="none" w:sz="0" w:space="0" w:color="auto"/>
            <w:left w:val="none" w:sz="0" w:space="0" w:color="auto"/>
            <w:bottom w:val="none" w:sz="0" w:space="0" w:color="auto"/>
            <w:right w:val="none" w:sz="0" w:space="0" w:color="auto"/>
          </w:divBdr>
          <w:divsChild>
            <w:div w:id="137357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275258">
      <w:bodyDiv w:val="1"/>
      <w:marLeft w:val="0"/>
      <w:marRight w:val="0"/>
      <w:marTop w:val="0"/>
      <w:marBottom w:val="0"/>
      <w:divBdr>
        <w:top w:val="none" w:sz="0" w:space="0" w:color="auto"/>
        <w:left w:val="none" w:sz="0" w:space="0" w:color="auto"/>
        <w:bottom w:val="none" w:sz="0" w:space="0" w:color="auto"/>
        <w:right w:val="none" w:sz="0" w:space="0" w:color="auto"/>
      </w:divBdr>
    </w:div>
    <w:div w:id="425347014">
      <w:bodyDiv w:val="1"/>
      <w:marLeft w:val="0"/>
      <w:marRight w:val="0"/>
      <w:marTop w:val="0"/>
      <w:marBottom w:val="0"/>
      <w:divBdr>
        <w:top w:val="none" w:sz="0" w:space="0" w:color="auto"/>
        <w:left w:val="none" w:sz="0" w:space="0" w:color="auto"/>
        <w:bottom w:val="none" w:sz="0" w:space="0" w:color="auto"/>
        <w:right w:val="none" w:sz="0" w:space="0" w:color="auto"/>
      </w:divBdr>
    </w:div>
    <w:div w:id="437915485">
      <w:bodyDiv w:val="1"/>
      <w:marLeft w:val="0"/>
      <w:marRight w:val="0"/>
      <w:marTop w:val="0"/>
      <w:marBottom w:val="0"/>
      <w:divBdr>
        <w:top w:val="none" w:sz="0" w:space="0" w:color="auto"/>
        <w:left w:val="none" w:sz="0" w:space="0" w:color="auto"/>
        <w:bottom w:val="none" w:sz="0" w:space="0" w:color="auto"/>
        <w:right w:val="none" w:sz="0" w:space="0" w:color="auto"/>
      </w:divBdr>
      <w:divsChild>
        <w:div w:id="1976712809">
          <w:marLeft w:val="0"/>
          <w:marRight w:val="0"/>
          <w:marTop w:val="0"/>
          <w:marBottom w:val="0"/>
          <w:divBdr>
            <w:top w:val="none" w:sz="0" w:space="0" w:color="auto"/>
            <w:left w:val="none" w:sz="0" w:space="0" w:color="auto"/>
            <w:bottom w:val="none" w:sz="0" w:space="0" w:color="auto"/>
            <w:right w:val="none" w:sz="0" w:space="0" w:color="auto"/>
          </w:divBdr>
          <w:divsChild>
            <w:div w:id="865169562">
              <w:marLeft w:val="0"/>
              <w:marRight w:val="0"/>
              <w:marTop w:val="0"/>
              <w:marBottom w:val="0"/>
              <w:divBdr>
                <w:top w:val="none" w:sz="0" w:space="0" w:color="auto"/>
                <w:left w:val="none" w:sz="0" w:space="0" w:color="auto"/>
                <w:bottom w:val="none" w:sz="0" w:space="0" w:color="auto"/>
                <w:right w:val="none" w:sz="0" w:space="0" w:color="auto"/>
              </w:divBdr>
            </w:div>
          </w:divsChild>
        </w:div>
        <w:div w:id="468479739">
          <w:marLeft w:val="0"/>
          <w:marRight w:val="0"/>
          <w:marTop w:val="0"/>
          <w:marBottom w:val="0"/>
          <w:divBdr>
            <w:top w:val="none" w:sz="0" w:space="0" w:color="auto"/>
            <w:left w:val="none" w:sz="0" w:space="0" w:color="auto"/>
            <w:bottom w:val="none" w:sz="0" w:space="0" w:color="auto"/>
            <w:right w:val="none" w:sz="0" w:space="0" w:color="auto"/>
          </w:divBdr>
          <w:divsChild>
            <w:div w:id="1711374145">
              <w:marLeft w:val="0"/>
              <w:marRight w:val="0"/>
              <w:marTop w:val="0"/>
              <w:marBottom w:val="0"/>
              <w:divBdr>
                <w:top w:val="none" w:sz="0" w:space="0" w:color="auto"/>
                <w:left w:val="none" w:sz="0" w:space="0" w:color="auto"/>
                <w:bottom w:val="none" w:sz="0" w:space="0" w:color="auto"/>
                <w:right w:val="none" w:sz="0" w:space="0" w:color="auto"/>
              </w:divBdr>
            </w:div>
          </w:divsChild>
        </w:div>
        <w:div w:id="1542984457">
          <w:marLeft w:val="0"/>
          <w:marRight w:val="0"/>
          <w:marTop w:val="0"/>
          <w:marBottom w:val="0"/>
          <w:divBdr>
            <w:top w:val="none" w:sz="0" w:space="0" w:color="auto"/>
            <w:left w:val="none" w:sz="0" w:space="0" w:color="auto"/>
            <w:bottom w:val="none" w:sz="0" w:space="0" w:color="auto"/>
            <w:right w:val="none" w:sz="0" w:space="0" w:color="auto"/>
          </w:divBdr>
          <w:divsChild>
            <w:div w:id="1310017607">
              <w:marLeft w:val="0"/>
              <w:marRight w:val="0"/>
              <w:marTop w:val="0"/>
              <w:marBottom w:val="0"/>
              <w:divBdr>
                <w:top w:val="none" w:sz="0" w:space="0" w:color="auto"/>
                <w:left w:val="none" w:sz="0" w:space="0" w:color="auto"/>
                <w:bottom w:val="none" w:sz="0" w:space="0" w:color="auto"/>
                <w:right w:val="none" w:sz="0" w:space="0" w:color="auto"/>
              </w:divBdr>
            </w:div>
          </w:divsChild>
        </w:div>
        <w:div w:id="2007050363">
          <w:marLeft w:val="0"/>
          <w:marRight w:val="0"/>
          <w:marTop w:val="0"/>
          <w:marBottom w:val="0"/>
          <w:divBdr>
            <w:top w:val="none" w:sz="0" w:space="0" w:color="auto"/>
            <w:left w:val="none" w:sz="0" w:space="0" w:color="auto"/>
            <w:bottom w:val="none" w:sz="0" w:space="0" w:color="auto"/>
            <w:right w:val="none" w:sz="0" w:space="0" w:color="auto"/>
          </w:divBdr>
          <w:divsChild>
            <w:div w:id="158310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40524">
      <w:bodyDiv w:val="1"/>
      <w:marLeft w:val="0"/>
      <w:marRight w:val="0"/>
      <w:marTop w:val="0"/>
      <w:marBottom w:val="0"/>
      <w:divBdr>
        <w:top w:val="none" w:sz="0" w:space="0" w:color="auto"/>
        <w:left w:val="none" w:sz="0" w:space="0" w:color="auto"/>
        <w:bottom w:val="none" w:sz="0" w:space="0" w:color="auto"/>
        <w:right w:val="none" w:sz="0" w:space="0" w:color="auto"/>
      </w:divBdr>
    </w:div>
    <w:div w:id="579101959">
      <w:bodyDiv w:val="1"/>
      <w:marLeft w:val="0"/>
      <w:marRight w:val="0"/>
      <w:marTop w:val="0"/>
      <w:marBottom w:val="0"/>
      <w:divBdr>
        <w:top w:val="none" w:sz="0" w:space="0" w:color="auto"/>
        <w:left w:val="none" w:sz="0" w:space="0" w:color="auto"/>
        <w:bottom w:val="none" w:sz="0" w:space="0" w:color="auto"/>
        <w:right w:val="none" w:sz="0" w:space="0" w:color="auto"/>
      </w:divBdr>
    </w:div>
    <w:div w:id="589778935">
      <w:bodyDiv w:val="1"/>
      <w:marLeft w:val="0"/>
      <w:marRight w:val="0"/>
      <w:marTop w:val="0"/>
      <w:marBottom w:val="0"/>
      <w:divBdr>
        <w:top w:val="none" w:sz="0" w:space="0" w:color="auto"/>
        <w:left w:val="none" w:sz="0" w:space="0" w:color="auto"/>
        <w:bottom w:val="none" w:sz="0" w:space="0" w:color="auto"/>
        <w:right w:val="none" w:sz="0" w:space="0" w:color="auto"/>
      </w:divBdr>
      <w:divsChild>
        <w:div w:id="1952853480">
          <w:marLeft w:val="480"/>
          <w:marRight w:val="0"/>
          <w:marTop w:val="0"/>
          <w:marBottom w:val="0"/>
          <w:divBdr>
            <w:top w:val="none" w:sz="0" w:space="0" w:color="auto"/>
            <w:left w:val="none" w:sz="0" w:space="0" w:color="auto"/>
            <w:bottom w:val="none" w:sz="0" w:space="0" w:color="auto"/>
            <w:right w:val="none" w:sz="0" w:space="0" w:color="auto"/>
          </w:divBdr>
          <w:divsChild>
            <w:div w:id="79949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20554">
      <w:bodyDiv w:val="1"/>
      <w:marLeft w:val="0"/>
      <w:marRight w:val="0"/>
      <w:marTop w:val="0"/>
      <w:marBottom w:val="0"/>
      <w:divBdr>
        <w:top w:val="none" w:sz="0" w:space="0" w:color="auto"/>
        <w:left w:val="none" w:sz="0" w:space="0" w:color="auto"/>
        <w:bottom w:val="none" w:sz="0" w:space="0" w:color="auto"/>
        <w:right w:val="none" w:sz="0" w:space="0" w:color="auto"/>
      </w:divBdr>
    </w:div>
    <w:div w:id="760493924">
      <w:bodyDiv w:val="1"/>
      <w:marLeft w:val="0"/>
      <w:marRight w:val="0"/>
      <w:marTop w:val="0"/>
      <w:marBottom w:val="0"/>
      <w:divBdr>
        <w:top w:val="none" w:sz="0" w:space="0" w:color="auto"/>
        <w:left w:val="none" w:sz="0" w:space="0" w:color="auto"/>
        <w:bottom w:val="none" w:sz="0" w:space="0" w:color="auto"/>
        <w:right w:val="none" w:sz="0" w:space="0" w:color="auto"/>
      </w:divBdr>
    </w:div>
    <w:div w:id="1030228844">
      <w:bodyDiv w:val="1"/>
      <w:marLeft w:val="0"/>
      <w:marRight w:val="0"/>
      <w:marTop w:val="0"/>
      <w:marBottom w:val="0"/>
      <w:divBdr>
        <w:top w:val="none" w:sz="0" w:space="0" w:color="auto"/>
        <w:left w:val="none" w:sz="0" w:space="0" w:color="auto"/>
        <w:bottom w:val="none" w:sz="0" w:space="0" w:color="auto"/>
        <w:right w:val="none" w:sz="0" w:space="0" w:color="auto"/>
      </w:divBdr>
    </w:div>
    <w:div w:id="1179272175">
      <w:bodyDiv w:val="1"/>
      <w:marLeft w:val="0"/>
      <w:marRight w:val="0"/>
      <w:marTop w:val="0"/>
      <w:marBottom w:val="0"/>
      <w:divBdr>
        <w:top w:val="none" w:sz="0" w:space="0" w:color="auto"/>
        <w:left w:val="none" w:sz="0" w:space="0" w:color="auto"/>
        <w:bottom w:val="none" w:sz="0" w:space="0" w:color="auto"/>
        <w:right w:val="none" w:sz="0" w:space="0" w:color="auto"/>
      </w:divBdr>
    </w:div>
    <w:div w:id="1290353561">
      <w:bodyDiv w:val="1"/>
      <w:marLeft w:val="0"/>
      <w:marRight w:val="0"/>
      <w:marTop w:val="0"/>
      <w:marBottom w:val="0"/>
      <w:divBdr>
        <w:top w:val="none" w:sz="0" w:space="0" w:color="auto"/>
        <w:left w:val="none" w:sz="0" w:space="0" w:color="auto"/>
        <w:bottom w:val="none" w:sz="0" w:space="0" w:color="auto"/>
        <w:right w:val="none" w:sz="0" w:space="0" w:color="auto"/>
      </w:divBdr>
      <w:divsChild>
        <w:div w:id="1585995711">
          <w:marLeft w:val="480"/>
          <w:marRight w:val="0"/>
          <w:marTop w:val="0"/>
          <w:marBottom w:val="0"/>
          <w:divBdr>
            <w:top w:val="none" w:sz="0" w:space="0" w:color="auto"/>
            <w:left w:val="none" w:sz="0" w:space="0" w:color="auto"/>
            <w:bottom w:val="none" w:sz="0" w:space="0" w:color="auto"/>
            <w:right w:val="none" w:sz="0" w:space="0" w:color="auto"/>
          </w:divBdr>
          <w:divsChild>
            <w:div w:id="21251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537121">
      <w:bodyDiv w:val="1"/>
      <w:marLeft w:val="0"/>
      <w:marRight w:val="0"/>
      <w:marTop w:val="0"/>
      <w:marBottom w:val="0"/>
      <w:divBdr>
        <w:top w:val="none" w:sz="0" w:space="0" w:color="auto"/>
        <w:left w:val="none" w:sz="0" w:space="0" w:color="auto"/>
        <w:bottom w:val="none" w:sz="0" w:space="0" w:color="auto"/>
        <w:right w:val="none" w:sz="0" w:space="0" w:color="auto"/>
      </w:divBdr>
    </w:div>
    <w:div w:id="1536700560">
      <w:bodyDiv w:val="1"/>
      <w:marLeft w:val="0"/>
      <w:marRight w:val="0"/>
      <w:marTop w:val="0"/>
      <w:marBottom w:val="0"/>
      <w:divBdr>
        <w:top w:val="none" w:sz="0" w:space="0" w:color="auto"/>
        <w:left w:val="none" w:sz="0" w:space="0" w:color="auto"/>
        <w:bottom w:val="none" w:sz="0" w:space="0" w:color="auto"/>
        <w:right w:val="none" w:sz="0" w:space="0" w:color="auto"/>
      </w:divBdr>
      <w:divsChild>
        <w:div w:id="405879754">
          <w:marLeft w:val="480"/>
          <w:marRight w:val="0"/>
          <w:marTop w:val="0"/>
          <w:marBottom w:val="0"/>
          <w:divBdr>
            <w:top w:val="none" w:sz="0" w:space="0" w:color="auto"/>
            <w:left w:val="none" w:sz="0" w:space="0" w:color="auto"/>
            <w:bottom w:val="none" w:sz="0" w:space="0" w:color="auto"/>
            <w:right w:val="none" w:sz="0" w:space="0" w:color="auto"/>
          </w:divBdr>
          <w:divsChild>
            <w:div w:id="146908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849155">
      <w:bodyDiv w:val="1"/>
      <w:marLeft w:val="0"/>
      <w:marRight w:val="0"/>
      <w:marTop w:val="0"/>
      <w:marBottom w:val="0"/>
      <w:divBdr>
        <w:top w:val="none" w:sz="0" w:space="0" w:color="auto"/>
        <w:left w:val="none" w:sz="0" w:space="0" w:color="auto"/>
        <w:bottom w:val="none" w:sz="0" w:space="0" w:color="auto"/>
        <w:right w:val="none" w:sz="0" w:space="0" w:color="auto"/>
      </w:divBdr>
    </w:div>
    <w:div w:id="1797873452">
      <w:bodyDiv w:val="1"/>
      <w:marLeft w:val="0"/>
      <w:marRight w:val="0"/>
      <w:marTop w:val="0"/>
      <w:marBottom w:val="0"/>
      <w:divBdr>
        <w:top w:val="none" w:sz="0" w:space="0" w:color="auto"/>
        <w:left w:val="none" w:sz="0" w:space="0" w:color="auto"/>
        <w:bottom w:val="none" w:sz="0" w:space="0" w:color="auto"/>
        <w:right w:val="none" w:sz="0" w:space="0" w:color="auto"/>
      </w:divBdr>
    </w:div>
    <w:div w:id="1912080948">
      <w:bodyDiv w:val="1"/>
      <w:marLeft w:val="0"/>
      <w:marRight w:val="0"/>
      <w:marTop w:val="0"/>
      <w:marBottom w:val="0"/>
      <w:divBdr>
        <w:top w:val="none" w:sz="0" w:space="0" w:color="auto"/>
        <w:left w:val="none" w:sz="0" w:space="0" w:color="auto"/>
        <w:bottom w:val="none" w:sz="0" w:space="0" w:color="auto"/>
        <w:right w:val="none" w:sz="0" w:space="0" w:color="auto"/>
      </w:divBdr>
      <w:divsChild>
        <w:div w:id="1150096705">
          <w:marLeft w:val="480"/>
          <w:marRight w:val="0"/>
          <w:marTop w:val="0"/>
          <w:marBottom w:val="0"/>
          <w:divBdr>
            <w:top w:val="none" w:sz="0" w:space="0" w:color="auto"/>
            <w:left w:val="none" w:sz="0" w:space="0" w:color="auto"/>
            <w:bottom w:val="none" w:sz="0" w:space="0" w:color="auto"/>
            <w:right w:val="none" w:sz="0" w:space="0" w:color="auto"/>
          </w:divBdr>
          <w:divsChild>
            <w:div w:id="17357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682387">
      <w:bodyDiv w:val="1"/>
      <w:marLeft w:val="0"/>
      <w:marRight w:val="0"/>
      <w:marTop w:val="0"/>
      <w:marBottom w:val="0"/>
      <w:divBdr>
        <w:top w:val="none" w:sz="0" w:space="0" w:color="auto"/>
        <w:left w:val="none" w:sz="0" w:space="0" w:color="auto"/>
        <w:bottom w:val="none" w:sz="0" w:space="0" w:color="auto"/>
        <w:right w:val="none" w:sz="0" w:space="0" w:color="auto"/>
      </w:divBdr>
      <w:divsChild>
        <w:div w:id="86004995">
          <w:marLeft w:val="480"/>
          <w:marRight w:val="0"/>
          <w:marTop w:val="0"/>
          <w:marBottom w:val="0"/>
          <w:divBdr>
            <w:top w:val="none" w:sz="0" w:space="0" w:color="auto"/>
            <w:left w:val="none" w:sz="0" w:space="0" w:color="auto"/>
            <w:bottom w:val="none" w:sz="0" w:space="0" w:color="auto"/>
            <w:right w:val="none" w:sz="0" w:space="0" w:color="auto"/>
          </w:divBdr>
          <w:divsChild>
            <w:div w:id="17819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532482">
      <w:bodyDiv w:val="1"/>
      <w:marLeft w:val="0"/>
      <w:marRight w:val="0"/>
      <w:marTop w:val="0"/>
      <w:marBottom w:val="0"/>
      <w:divBdr>
        <w:top w:val="none" w:sz="0" w:space="0" w:color="auto"/>
        <w:left w:val="none" w:sz="0" w:space="0" w:color="auto"/>
        <w:bottom w:val="none" w:sz="0" w:space="0" w:color="auto"/>
        <w:right w:val="none" w:sz="0" w:space="0" w:color="auto"/>
      </w:divBdr>
      <w:divsChild>
        <w:div w:id="1731928076">
          <w:marLeft w:val="480"/>
          <w:marRight w:val="0"/>
          <w:marTop w:val="0"/>
          <w:marBottom w:val="0"/>
          <w:divBdr>
            <w:top w:val="none" w:sz="0" w:space="0" w:color="auto"/>
            <w:left w:val="none" w:sz="0" w:space="0" w:color="auto"/>
            <w:bottom w:val="none" w:sz="0" w:space="0" w:color="auto"/>
            <w:right w:val="none" w:sz="0" w:space="0" w:color="auto"/>
          </w:divBdr>
          <w:divsChild>
            <w:div w:id="13106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77%2F1464884913478361" TargetMode="External"/><Relationship Id="rId18" Type="http://schemas.openxmlformats.org/officeDocument/2006/relationships/hyperlink" Target="https://doi.org/10.1016/j.tele.2017.12.009" TargetMode="External"/><Relationship Id="rId26" Type="http://schemas.openxmlformats.org/officeDocument/2006/relationships/hyperlink" Target="https://doi.org/10.1177/0002764204267246" TargetMode="External"/><Relationship Id="rId3" Type="http://schemas.openxmlformats.org/officeDocument/2006/relationships/styles" Target="styles.xml"/><Relationship Id="rId21" Type="http://schemas.openxmlformats.org/officeDocument/2006/relationships/hyperlink" Target="https://www.journalism.org/2021/02/22/how-americans-navigated-the-news-in-2020-a-tumultuous-year-in-review/" TargetMode="External"/><Relationship Id="rId7" Type="http://schemas.openxmlformats.org/officeDocument/2006/relationships/endnotes" Target="endnotes.xml"/><Relationship Id="rId12" Type="http://schemas.openxmlformats.org/officeDocument/2006/relationships/hyperlink" Target="https://egrove.olemiss.edu/jrss/vol34/iss1/2" TargetMode="External"/><Relationship Id="rId17" Type="http://schemas.openxmlformats.org/officeDocument/2006/relationships/hyperlink" Target="https://doi.org/10.2304/pfie.2007.5.1.59" TargetMode="External"/><Relationship Id="rId25" Type="http://schemas.openxmlformats.org/officeDocument/2006/relationships/hyperlink" Target="https://www.niemanlab.org/2020/08/people-who-engage-with-false-news-are-hyper-concerned-about-truth-but-they-think-its-being-hidde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1177/0002764219869406" TargetMode="External"/><Relationship Id="rId20" Type="http://schemas.openxmlformats.org/officeDocument/2006/relationships/hyperlink" Target="https://doi.org/10.23860/JMLE-2018-10-2-1"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pr.org/2021/01/08/954994440/journalists-views-of-the-pro-trump-riot-on-capitol-hill" TargetMode="External"/><Relationship Id="rId24" Type="http://schemas.openxmlformats.org/officeDocument/2006/relationships/hyperlink" Target="https://fair.org/home/not-all-media-literacy-programs-are-created-equal-and-most-have-yet-to-be-created/" TargetMode="External"/><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doi.org/10.1080/17512786.2020.1844040" TargetMode="External"/><Relationship Id="rId23" Type="http://schemas.openxmlformats.org/officeDocument/2006/relationships/hyperlink" Target="https://doi.org/10.1080/08838151.2011.521462" TargetMode="External"/><Relationship Id="rId28"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hyperlink" Target="https://doi.org/10.1177/107769900908600204"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yperlink" Target="https://wan-ifra.org/2018/08/people-with-media-literacy-training-more-likely-to-verify-information-online-study-says/" TargetMode="External"/><Relationship Id="rId22" Type="http://schemas.openxmlformats.org/officeDocument/2006/relationships/hyperlink" Target="https://youtu.be/4E72MIiS8UM" TargetMode="External"/><Relationship Id="rId27" Type="http://schemas.openxmlformats.org/officeDocument/2006/relationships/image" Target="media/image1.png"/><Relationship Id="rId30" Type="http://schemas.openxmlformats.org/officeDocument/2006/relationships/header" Target="header3.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Frequency</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Sheet1!$A$2:$A$11</c:f>
              <c:strCache>
                <c:ptCount val="10"/>
                <c:pt idx="0">
                  <c:v>Associations/Bios</c:v>
                </c:pt>
                <c:pt idx="1">
                  <c:v>Skepticism</c:v>
                </c:pt>
                <c:pt idx="2">
                  <c:v>Mis/Disinfo</c:v>
                </c:pt>
                <c:pt idx="3">
                  <c:v>Call to Action</c:v>
                </c:pt>
                <c:pt idx="4">
                  <c:v>Pedagogy</c:v>
                </c:pt>
                <c:pt idx="5">
                  <c:v>Corporatism</c:v>
                </c:pt>
                <c:pt idx="6">
                  <c:v>Politics/Law</c:v>
                </c:pt>
                <c:pt idx="7">
                  <c:v>Cognitive Load</c:v>
                </c:pt>
                <c:pt idx="8">
                  <c:v>Service/Professional</c:v>
                </c:pt>
                <c:pt idx="9">
                  <c:v>Social Justice/DEI</c:v>
                </c:pt>
              </c:strCache>
            </c:strRef>
          </c:cat>
          <c:val>
            <c:numRef>
              <c:f>Sheet1!$B$2:$B$11</c:f>
              <c:numCache>
                <c:formatCode>General</c:formatCode>
                <c:ptCount val="10"/>
                <c:pt idx="0">
                  <c:v>29</c:v>
                </c:pt>
                <c:pt idx="1">
                  <c:v>39</c:v>
                </c:pt>
                <c:pt idx="2">
                  <c:v>9</c:v>
                </c:pt>
                <c:pt idx="3">
                  <c:v>7</c:v>
                </c:pt>
                <c:pt idx="4">
                  <c:v>35</c:v>
                </c:pt>
                <c:pt idx="5">
                  <c:v>16</c:v>
                </c:pt>
                <c:pt idx="6">
                  <c:v>19</c:v>
                </c:pt>
                <c:pt idx="7">
                  <c:v>3</c:v>
                </c:pt>
                <c:pt idx="8">
                  <c:v>17</c:v>
                </c:pt>
                <c:pt idx="9">
                  <c:v>10</c:v>
                </c:pt>
              </c:numCache>
            </c:numRef>
          </c:val>
          <c:extLst>
            <c:ext xmlns:c16="http://schemas.microsoft.com/office/drawing/2014/chart" uri="{C3380CC4-5D6E-409C-BE32-E72D297353CC}">
              <c16:uniqueId val="{00000000-8C27-1045-982B-247756250B47}"/>
            </c:ext>
          </c:extLst>
        </c:ser>
        <c:dLbls>
          <c:dLblPos val="inEnd"/>
          <c:showLegendKey val="0"/>
          <c:showVal val="1"/>
          <c:showCatName val="0"/>
          <c:showSerName val="0"/>
          <c:showPercent val="0"/>
          <c:showBubbleSize val="0"/>
        </c:dLbls>
        <c:gapWidth val="41"/>
        <c:axId val="1576843071"/>
        <c:axId val="1576136335"/>
      </c:barChart>
      <c:catAx>
        <c:axId val="157684307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n-US"/>
          </a:p>
        </c:txPr>
        <c:crossAx val="1576136335"/>
        <c:crosses val="autoZero"/>
        <c:auto val="1"/>
        <c:lblAlgn val="ctr"/>
        <c:lblOffset val="100"/>
        <c:noMultiLvlLbl val="0"/>
      </c:catAx>
      <c:valAx>
        <c:axId val="1576136335"/>
        <c:scaling>
          <c:orientation val="minMax"/>
        </c:scaling>
        <c:delete val="1"/>
        <c:axPos val="l"/>
        <c:numFmt formatCode="General" sourceLinked="1"/>
        <c:majorTickMark val="none"/>
        <c:minorTickMark val="none"/>
        <c:tickLblPos val="nextTo"/>
        <c:crossAx val="15768430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Series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Positive</c:v>
                </c:pt>
                <c:pt idx="1">
                  <c:v>Negative</c:v>
                </c:pt>
                <c:pt idx="2">
                  <c:v>Neutral</c:v>
                </c:pt>
              </c:strCache>
            </c:strRef>
          </c:cat>
          <c:val>
            <c:numRef>
              <c:f>Sheet1!$B$2:$B$4</c:f>
              <c:numCache>
                <c:formatCode>General</c:formatCode>
                <c:ptCount val="3"/>
                <c:pt idx="0">
                  <c:v>44</c:v>
                </c:pt>
                <c:pt idx="1">
                  <c:v>24</c:v>
                </c:pt>
                <c:pt idx="2">
                  <c:v>10</c:v>
                </c:pt>
              </c:numCache>
            </c:numRef>
          </c:val>
          <c:extLst>
            <c:ext xmlns:c16="http://schemas.microsoft.com/office/drawing/2014/chart" uri="{C3380CC4-5D6E-409C-BE32-E72D297353CC}">
              <c16:uniqueId val="{00000000-014E-3247-B8AF-D5CD40214F34}"/>
            </c:ext>
          </c:extLst>
        </c:ser>
        <c:ser>
          <c:idx val="1"/>
          <c:order val="1"/>
          <c:tx>
            <c:strRef>
              <c:f>Sheet1!$C$1</c:f>
              <c:strCache>
                <c:ptCount val="1"/>
                <c:pt idx="0">
                  <c:v>Column1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Positive</c:v>
                </c:pt>
                <c:pt idx="1">
                  <c:v>Negative</c:v>
                </c:pt>
                <c:pt idx="2">
                  <c:v>Neutral</c:v>
                </c:pt>
              </c:strCache>
            </c:strRef>
          </c:cat>
          <c:val>
            <c:numRef>
              <c:f>Sheet1!$C$2:$C$4</c:f>
              <c:numCache>
                <c:formatCode>General</c:formatCode>
                <c:ptCount val="3"/>
              </c:numCache>
            </c:numRef>
          </c:val>
          <c:extLst>
            <c:ext xmlns:c16="http://schemas.microsoft.com/office/drawing/2014/chart" uri="{C3380CC4-5D6E-409C-BE32-E72D297353CC}">
              <c16:uniqueId val="{00000001-014E-3247-B8AF-D5CD40214F34}"/>
            </c:ext>
          </c:extLst>
        </c:ser>
        <c:ser>
          <c:idx val="2"/>
          <c:order val="2"/>
          <c:tx>
            <c:strRef>
              <c:f>Sheet1!$D$1</c:f>
              <c:strCache>
                <c:ptCount val="1"/>
                <c:pt idx="0">
                  <c:v>Column2</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Positive</c:v>
                </c:pt>
                <c:pt idx="1">
                  <c:v>Negative</c:v>
                </c:pt>
                <c:pt idx="2">
                  <c:v>Neutral</c:v>
                </c:pt>
              </c:strCache>
            </c:strRef>
          </c:cat>
          <c:val>
            <c:numRef>
              <c:f>Sheet1!$D$2:$D$4</c:f>
              <c:numCache>
                <c:formatCode>General</c:formatCode>
                <c:ptCount val="3"/>
              </c:numCache>
            </c:numRef>
          </c:val>
          <c:extLst>
            <c:ext xmlns:c16="http://schemas.microsoft.com/office/drawing/2014/chart" uri="{C3380CC4-5D6E-409C-BE32-E72D297353CC}">
              <c16:uniqueId val="{00000002-014E-3247-B8AF-D5CD40214F34}"/>
            </c:ext>
          </c:extLst>
        </c:ser>
        <c:dLbls>
          <c:dLblPos val="ctr"/>
          <c:showLegendKey val="0"/>
          <c:showVal val="1"/>
          <c:showCatName val="0"/>
          <c:showSerName val="0"/>
          <c:showPercent val="0"/>
          <c:showBubbleSize val="0"/>
        </c:dLbls>
        <c:gapWidth val="79"/>
        <c:overlap val="100"/>
        <c:axId val="1599280415"/>
        <c:axId val="1599712015"/>
      </c:barChart>
      <c:catAx>
        <c:axId val="159928041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1599712015"/>
        <c:crosses val="autoZero"/>
        <c:auto val="1"/>
        <c:lblAlgn val="ctr"/>
        <c:lblOffset val="100"/>
        <c:noMultiLvlLbl val="0"/>
      </c:catAx>
      <c:valAx>
        <c:axId val="1599712015"/>
        <c:scaling>
          <c:orientation val="minMax"/>
        </c:scaling>
        <c:delete val="1"/>
        <c:axPos val="l"/>
        <c:numFmt formatCode="General" sourceLinked="1"/>
        <c:majorTickMark val="none"/>
        <c:minorTickMark val="none"/>
        <c:tickLblPos val="nextTo"/>
        <c:crossAx val="159928041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Sheet1!$B$1</c:f>
              <c:strCache>
                <c:ptCount val="1"/>
                <c:pt idx="0">
                  <c:v>Series 1</c:v>
                </c:pt>
              </c:strCache>
            </c:strRef>
          </c:tx>
          <c:spPr>
            <a:solidFill>
              <a:schemeClr val="accent1"/>
            </a:solidFill>
            <a:ln>
              <a:noFill/>
            </a:ln>
            <a:effectLst/>
          </c:spPr>
          <c:invertIfNegative val="0"/>
          <c:cat>
            <c:strRef>
              <c:f>Sheet1!$A$2:$A$6</c:f>
              <c:strCache>
                <c:ptCount val="5"/>
                <c:pt idx="0">
                  <c:v>Social Systems</c:v>
                </c:pt>
                <c:pt idx="1">
                  <c:v>Social Institutions</c:v>
                </c:pt>
                <c:pt idx="2">
                  <c:v>Organizatons</c:v>
                </c:pt>
                <c:pt idx="3">
                  <c:v>Routines</c:v>
                </c:pt>
                <c:pt idx="4">
                  <c:v>Individuals</c:v>
                </c:pt>
              </c:strCache>
            </c:strRef>
          </c:cat>
          <c:val>
            <c:numRef>
              <c:f>Sheet1!$B$2:$B$6</c:f>
              <c:numCache>
                <c:formatCode>General</c:formatCode>
                <c:ptCount val="5"/>
                <c:pt idx="0">
                  <c:v>17</c:v>
                </c:pt>
                <c:pt idx="1">
                  <c:v>72</c:v>
                </c:pt>
                <c:pt idx="2">
                  <c:v>18</c:v>
                </c:pt>
                <c:pt idx="3">
                  <c:v>3</c:v>
                </c:pt>
                <c:pt idx="4">
                  <c:v>23</c:v>
                </c:pt>
              </c:numCache>
            </c:numRef>
          </c:val>
          <c:extLst>
            <c:ext xmlns:c16="http://schemas.microsoft.com/office/drawing/2014/chart" uri="{C3380CC4-5D6E-409C-BE32-E72D297353CC}">
              <c16:uniqueId val="{00000000-4A6C-CA41-9B1A-5C402846A3E4}"/>
            </c:ext>
          </c:extLst>
        </c:ser>
        <c:ser>
          <c:idx val="1"/>
          <c:order val="1"/>
          <c:tx>
            <c:strRef>
              <c:f>Sheet1!$C$1</c:f>
              <c:strCache>
                <c:ptCount val="1"/>
                <c:pt idx="0">
                  <c:v>Series 2</c:v>
                </c:pt>
              </c:strCache>
            </c:strRef>
          </c:tx>
          <c:spPr>
            <a:solidFill>
              <a:schemeClr val="accent2"/>
            </a:solidFill>
            <a:ln>
              <a:noFill/>
            </a:ln>
            <a:effectLst/>
          </c:spPr>
          <c:invertIfNegative val="0"/>
          <c:cat>
            <c:strRef>
              <c:f>Sheet1!$A$2:$A$6</c:f>
              <c:strCache>
                <c:ptCount val="5"/>
                <c:pt idx="0">
                  <c:v>Social Systems</c:v>
                </c:pt>
                <c:pt idx="1">
                  <c:v>Social Institutions</c:v>
                </c:pt>
                <c:pt idx="2">
                  <c:v>Organizatons</c:v>
                </c:pt>
                <c:pt idx="3">
                  <c:v>Routines</c:v>
                </c:pt>
                <c:pt idx="4">
                  <c:v>Individuals</c:v>
                </c:pt>
              </c:strCache>
            </c:strRef>
          </c:cat>
          <c:val>
            <c:numRef>
              <c:f>Sheet1!$C$2:$C$6</c:f>
              <c:numCache>
                <c:formatCode>General</c:formatCode>
                <c:ptCount val="5"/>
                <c:pt idx="0">
                  <c:v>61</c:v>
                </c:pt>
                <c:pt idx="1">
                  <c:v>6</c:v>
                </c:pt>
                <c:pt idx="2">
                  <c:v>60</c:v>
                </c:pt>
                <c:pt idx="3">
                  <c:v>75</c:v>
                </c:pt>
                <c:pt idx="4">
                  <c:v>55</c:v>
                </c:pt>
              </c:numCache>
            </c:numRef>
          </c:val>
          <c:extLst>
            <c:ext xmlns:c16="http://schemas.microsoft.com/office/drawing/2014/chart" uri="{C3380CC4-5D6E-409C-BE32-E72D297353CC}">
              <c16:uniqueId val="{00000001-4A6C-CA41-9B1A-5C402846A3E4}"/>
            </c:ext>
          </c:extLst>
        </c:ser>
        <c:dLbls>
          <c:showLegendKey val="0"/>
          <c:showVal val="0"/>
          <c:showCatName val="0"/>
          <c:showSerName val="0"/>
          <c:showPercent val="0"/>
          <c:showBubbleSize val="0"/>
        </c:dLbls>
        <c:gapWidth val="150"/>
        <c:overlap val="100"/>
        <c:axId val="1612252143"/>
        <c:axId val="1613714783"/>
      </c:barChart>
      <c:catAx>
        <c:axId val="161225214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3714783"/>
        <c:crosses val="autoZero"/>
        <c:auto val="1"/>
        <c:lblAlgn val="ctr"/>
        <c:lblOffset val="100"/>
        <c:noMultiLvlLbl val="0"/>
      </c:catAx>
      <c:valAx>
        <c:axId val="161371478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2252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2E3C5AB7EEE4549B6726CBD4868CE91"/>
        <w:category>
          <w:name w:val="General"/>
          <w:gallery w:val="placeholder"/>
        </w:category>
        <w:types>
          <w:type w:val="bbPlcHdr"/>
        </w:types>
        <w:behaviors>
          <w:behavior w:val="content"/>
        </w:behaviors>
        <w:guid w:val="{AC3707C8-5E44-C149-A4D7-68849F2372DD}"/>
      </w:docPartPr>
      <w:docPartBody>
        <w:p w:rsidR="004A638E" w:rsidRDefault="00C22200" w:rsidP="00C22200">
          <w:pPr>
            <w:pStyle w:val="72E3C5AB7EEE4549B6726CBD4868CE91"/>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200"/>
    <w:rsid w:val="003F21FD"/>
    <w:rsid w:val="004A609F"/>
    <w:rsid w:val="004A638E"/>
    <w:rsid w:val="00C22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E3C5AB7EEE4549B6726CBD4868CE91">
    <w:name w:val="72E3C5AB7EEE4549B6726CBD4868CE91"/>
    <w:rsid w:val="00C222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5F4C-8E6C-034B-9A1D-19BC2A6F2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1182</TotalTime>
  <Pages>24</Pages>
  <Words>5741</Words>
  <Characters>32901</Characters>
  <Application>Microsoft Office Word</Application>
  <DocSecurity>0</DocSecurity>
  <Lines>539</Lines>
  <Paragraphs>111</Paragraphs>
  <ScaleCrop>false</ScaleCrop>
  <HeadingPairs>
    <vt:vector size="2" baseType="variant">
      <vt:variant>
        <vt:lpstr>Title</vt:lpstr>
      </vt:variant>
      <vt:variant>
        <vt:i4>1</vt:i4>
      </vt:variant>
    </vt:vector>
  </HeadingPairs>
  <TitlesOfParts>
    <vt:vector size="1" baseType="lpstr">
      <vt:lpstr>The Disconnect
Journalist Perceptions of Media Literacy in Professional Literature</vt:lpstr>
    </vt:vector>
  </TitlesOfParts>
  <Company/>
  <LinksUpToDate>false</LinksUpToDate>
  <CharactersWithSpaces>38531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Disconnect
Journalist Perceptions of Media Literacy in Professional Literature</dc:title>
  <dc:subject/>
  <dc:creator>Joe Kohlburn</dc:creator>
  <cp:keywords/>
  <dc:description/>
  <cp:lastModifiedBy>Joe Kohlburn</cp:lastModifiedBy>
  <cp:revision>65</cp:revision>
  <dcterms:created xsi:type="dcterms:W3CDTF">2021-04-18T15:59:00Z</dcterms:created>
  <dcterms:modified xsi:type="dcterms:W3CDTF">2021-05-08T01:32:00Z</dcterms:modified>
</cp:coreProperties>
</file>